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17324D"/>
          <w:left w:val="single" w:sz="0" w:space="0" w:color="17324D"/>
          <w:bottom w:val="single" w:sz="0" w:space="0" w:color="17324D"/>
          <w:right w:val="single" w:sz="0" w:space="0" w:color="17324D"/>
          <w:insideH w:val="single" w:sz="0" w:space="0" w:color="17324D"/>
          <w:insideV w:val="single" w:sz="0" w:space="0" w:color="17324D"/>
        </w:tblBorders>
      </w:tblPr>
      <w:tblGrid>
        <w:gridCol w:w="9659"/>
      </w:tblGrid>
      <w:tr>
        <w:tc>
          <w:tcPr>
            <w:tcW w:type="dxa" w:w="9360"/>
            <w:shd w:fill="17324D"/>
            <w:tcMar>
              <w:top w:w="420" w:type="dxa"/>
              <w:start w:w="360" w:type="dxa"/>
              <w:bottom w:w="420" w:type="dxa"/>
              <w:end w:w="360" w:type="dxa"/>
            </w:tcMar>
          </w:tcPr>
          <w:p>
            <w:pPr>
              <w:jc w:val="left"/>
            </w:pPr>
            <w:r>
              <w:rPr>
                <w:rFonts w:ascii="Arial" w:hAnsi="Arial" w:eastAsia="Noto Sans CJK SC"/>
                <w:b/>
                <w:color w:val="B4C7E7"/>
                <w:sz w:val="18"/>
              </w:rPr>
              <w:t>CORPORATE DUE DILIGENCE</w:t>
            </w:r>
          </w:p>
          <w:p>
            <w:pPr>
              <w:spacing w:before="280"/>
            </w:pPr>
            <w:r>
              <w:rPr>
                <w:rFonts w:ascii="Aptos Display" w:hAnsi="Aptos Display" w:eastAsia="Noto Sans CJK SC"/>
                <w:b/>
                <w:color w:val="FFFFFF"/>
                <w:sz w:val="54"/>
              </w:rPr>
              <w:t>四川影目科技有限公司</w:t>
            </w:r>
          </w:p>
          <w:p>
            <w:r>
              <w:rPr>
                <w:rFonts w:ascii="Arial" w:hAnsi="Arial" w:eastAsia="Noto Sans CJK SC"/>
                <w:b/>
                <w:color w:val="FFFFFF"/>
                <w:sz w:val="36"/>
              </w:rPr>
              <w:t>投资机构决策版深度尽调报告</w:t>
            </w:r>
          </w:p>
          <w:p>
            <w:r>
              <w:rPr>
                <w:rFonts w:ascii="Arial" w:hAnsi="Arial" w:eastAsia="Noto Sans CJK SC"/>
                <w:color w:val="D9EAF7"/>
                <w:sz w:val="21"/>
              </w:rPr>
              <w:t>产业链｜行业格局｜创始团队｜关联企业｜商业与风险</w:t>
            </w:r>
          </w:p>
        </w:tc>
      </w:tr>
    </w:tbl>
    <w:p>
      <w:pPr>
        <w:spacing w:before="600" w:after="200"/>
      </w:pPr>
      <w:r>
        <w:rPr>
          <w:rFonts w:ascii="Arial" w:hAnsi="Arial" w:eastAsia="Noto Sans CJK SC"/>
          <w:b/>
          <w:color w:val="ED7D31"/>
          <w:sz w:val="22"/>
        </w:rPr>
        <w:t>研究结论</w:t>
      </w:r>
    </w:p>
    <w:p>
      <w:pPr>
        <w:spacing w:after="280"/>
      </w:pPr>
      <w:r>
        <w:rPr>
          <w:rFonts w:ascii="Aptos Display" w:hAnsi="Aptos Display" w:eastAsia="Noto Sans CJK SC"/>
          <w:b/>
          <w:color w:val="17324D"/>
          <w:sz w:val="48"/>
        </w:rPr>
        <w:t>有条件推进</w:t>
      </w:r>
    </w:p>
    <w:p>
      <w:pPr>
        <w:keepLines/>
      </w:pPr>
      <w:r>
        <w:rPr>
          <w:rFonts w:ascii="Arial" w:hAnsi="Arial" w:eastAsia="Noto Sans CJK SC"/>
          <w:color w:val="1F1F1F"/>
          <w:sz w:val="21"/>
        </w:rPr>
        <w:t>公司具备较强融资能力、消费级一体式AR眼镜先发卡位和成都—深圳—无锡产业协同基础；但交易价值高度依赖未公开的审计财务、真实出货/激活/退货、核心器件采购与337和解义务。建议在完成关键验证前，不以管理层市占率、营收或估值口径直接定价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cantSplit/>
        </w:trPr>
        <w:tc>
          <w:tcPr>
            <w:tcW w:type="dxa" w:w="1900"/>
            <w:shd w:fill="F2F4F7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b/>
                <w:color w:val="17324D"/>
                <w:sz w:val="18"/>
              </w:rPr>
              <w:t>报告基准日</w:t>
            </w:r>
          </w:p>
        </w:tc>
        <w:tc>
          <w:tcPr>
            <w:tcW w:type="dxa" w:w="7460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color w:val="1F1F1F"/>
                <w:sz w:val="18"/>
              </w:rPr>
              <w:t>2026年8月11日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b/>
                <w:color w:val="17324D"/>
                <w:sz w:val="18"/>
              </w:rPr>
              <w:t>信息范围</w:t>
            </w:r>
          </w:p>
        </w:tc>
        <w:tc>
          <w:tcPr>
            <w:tcW w:type="dxa" w:w="7460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color w:val="1F1F1F"/>
                <w:sz w:val="18"/>
              </w:rPr>
              <w:t>公开工商、政府/监管、公司官网、媒体访谈、产业研究与产品资料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b/>
                <w:color w:val="17324D"/>
                <w:sz w:val="18"/>
              </w:rPr>
              <w:t>适用场景</w:t>
            </w:r>
          </w:p>
        </w:tc>
        <w:tc>
          <w:tcPr>
            <w:tcW w:type="dxa" w:w="7460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color w:val="1F1F1F"/>
                <w:sz w:val="18"/>
              </w:rPr>
              <w:t>股权投资项目初筛、立项、数据室准备与投资委员会讨论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b/>
                <w:color w:val="17324D"/>
                <w:sz w:val="18"/>
              </w:rPr>
              <w:t>保密等级</w:t>
            </w:r>
          </w:p>
        </w:tc>
        <w:tc>
          <w:tcPr>
            <w:tcW w:type="dxa" w:w="7460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 w:eastAsia="Noto Sans CJK SC"/>
                <w:color w:val="1F1F1F"/>
                <w:sz w:val="18"/>
              </w:rPr>
              <w:t>机密｜仅供委托方内部使用</w:t>
            </w:r>
          </w:p>
        </w:tc>
      </w:tr>
    </w:tbl>
    <w:p>
      <w:pPr>
        <w:spacing w:before="520"/>
        <w:jc w:val="center"/>
      </w:pPr>
      <w:r>
        <w:rPr>
          <w:rFonts w:ascii="Arial" w:hAnsi="Arial" w:eastAsia="Noto Sans CJK SC"/>
          <w:b/>
          <w:color w:val="666666"/>
          <w:sz w:val="16"/>
        </w:rPr>
        <w:t>PUBLIC-SOURCE REVIEW · NOT A LEGAL OR AUDIT OPINION</w:t>
      </w:r>
    </w:p>
    <w:p>
      <w:r>
        <w:br w:type="page"/>
      </w:r>
    </w:p>
    <w:p>
      <w:pPr>
        <w:pStyle w:val="Heading1"/>
      </w:pPr>
      <w:r>
        <w:t>使用说明与责任边界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BF9000"/>
          <w:left w:val="single" w:sz="8" w:space="0" w:color="BF9000"/>
          <w:bottom w:val="single" w:sz="8" w:space="0" w:color="BF9000"/>
          <w:right w:val="single" w:sz="8" w:space="0" w:color="BF9000"/>
          <w:insideH w:val="single" w:sz="8" w:space="0" w:color="BF9000"/>
          <w:insideV w:val="single" w:sz="8" w:space="0" w:color="BF9000"/>
        </w:tblBorders>
      </w:tblPr>
      <w:tblGrid>
        <w:gridCol w:w="9659"/>
      </w:tblGrid>
      <w:tr>
        <w:tc>
          <w:tcPr>
            <w:tcW w:type="dxa" w:w="9360"/>
            <w:shd w:fill="FFF2CC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BF9000"/>
                <w:sz w:val="21"/>
              </w:rPr>
              <w:t>重要提示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本报告是基于截至基准日可获取公开信息形成的商业尽调，不构成法律意见、审计意见、估值意见或投资建议。公开数据库存在更新延迟、同名主体、统计口径与抓取误差；关键交易决策必须以企业盖章材料、监管原件、审计底稿和合同原文复核。</w:t>
            </w:r>
          </w:p>
        </w:tc>
      </w:tr>
    </w:tbl>
    <w:p>
      <w:pPr>
        <w:spacing w:after="0"/>
      </w:pPr>
    </w:p>
    <w:p>
      <w:r>
        <w:rPr>
          <w:rFonts w:ascii="Arial" w:hAnsi="Arial" w:eastAsia="Noto Sans CJK SC"/>
          <w:color w:val="1F1F1F"/>
          <w:sz w:val="21"/>
        </w:rPr>
        <w:t>事实分级采用三层：①“已核验”——政府、监管、公司官方或多源一致；②“管理层/媒体口径”——有明确出处但未经审计；③“分析推断”——基于产业逻辑提出，不能视为公司事实。报告不对非公开债务、代持、对赌、关联交易、数据出境、税务和解、未披露诉讼作消极保证。</w:t>
      </w:r>
    </w:p>
    <w:p>
      <w:r>
        <w:rPr>
          <w:rFonts w:ascii="Arial" w:hAnsi="Arial" w:eastAsia="Noto Sans CJK SC"/>
          <w:color w:val="1F1F1F"/>
          <w:sz w:val="21"/>
        </w:rPr>
        <w:t>本报告中特定个人履历仅限与企业经营、治理及交易风险直接相关的公开职业信息，不涉及私人信息。</w:t>
      </w:r>
    </w:p>
    <w:p>
      <w:pPr>
        <w:pStyle w:val="Heading1"/>
      </w:pPr>
      <w:r>
        <w:t>内容导航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tblHeader w:val="true"/>
          <w:cantSplit/>
        </w:trPr>
        <w:tc>
          <w:tcPr>
            <w:tcW w:type="dxa" w:w="468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章节</w:t>
            </w:r>
          </w:p>
        </w:tc>
        <w:tc>
          <w:tcPr>
            <w:tcW w:type="dxa" w:w="468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章节</w:t>
            </w:r>
          </w:p>
        </w:tc>
      </w:tr>
      <w:tr>
        <w:trPr>
          <w:cantSplit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1. 执行摘要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10. 商业模式、渠道与经营质量</w:t>
            </w:r>
          </w:p>
        </w:tc>
      </w:tr>
      <w:tr>
        <w:trPr>
          <w:cantSplit/>
        </w:trPr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2. 调研范围、方法与证据质量</w:t>
            </w:r>
          </w:p>
        </w:tc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11. 区域布局与产业协同</w:t>
            </w:r>
          </w:p>
        </w:tc>
      </w:tr>
      <w:tr>
        <w:trPr>
          <w:cantSplit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3. 公司主体与发展沿革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12. 法律、合规与争议</w:t>
            </w:r>
          </w:p>
        </w:tc>
      </w:tr>
      <w:tr>
        <w:trPr>
          <w:cantSplit/>
        </w:trPr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4. 股权、融资与治理</w:t>
            </w:r>
          </w:p>
        </w:tc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13. 风险矩阵</w:t>
            </w:r>
          </w:p>
        </w:tc>
      </w:tr>
      <w:tr>
        <w:trPr>
          <w:cantSplit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5. 创始团队与关键负责人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14. 竞争力、情景与战略判断</w:t>
            </w:r>
          </w:p>
        </w:tc>
      </w:tr>
      <w:tr>
        <w:trPr>
          <w:cantSplit/>
        </w:trPr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6. 产品、技术与知识产权</w:t>
            </w:r>
          </w:p>
        </w:tc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15. 下一阶段尽调清单与建议条件</w:t>
            </w:r>
          </w:p>
        </w:tc>
      </w:tr>
      <w:tr>
        <w:trPr>
          <w:cantSplit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7. 行业与产业分析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16. 仍待回答的关键问题</w:t>
            </w:r>
          </w:p>
        </w:tc>
      </w:tr>
      <w:tr>
        <w:trPr>
          <w:cantSplit/>
        </w:trPr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8. 上下游与产业链关系</w:t>
            </w:r>
          </w:p>
        </w:tc>
        <w:tc>
          <w:tcPr>
            <w:tcW w:type="dxa" w:w="468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17. 综合结论</w:t>
            </w:r>
          </w:p>
        </w:tc>
      </w:tr>
      <w:tr>
        <w:trPr>
          <w:cantSplit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9. 关联企业与集团边界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附录 A—C｜来源、口径与局限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正文标题使用 Word 原生标题层级，可在导航窗格中快速跳转；为避免跨环境字体和分页差异，不在静态表格中手工填写页码。</w:t>
      </w:r>
    </w:p>
    <w:p>
      <w:pPr>
        <w:pStyle w:val="Heading1"/>
        <w:pageBreakBefore/>
      </w:pPr>
      <w:r>
        <w:t>1. 执行摘要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2E74B5"/>
          <w:left w:val="single" w:sz="8" w:space="0" w:color="2E74B5"/>
          <w:bottom w:val="single" w:sz="8" w:space="0" w:color="2E74B5"/>
          <w:right w:val="single" w:sz="8" w:space="0" w:color="2E74B5"/>
          <w:insideH w:val="single" w:sz="8" w:space="0" w:color="2E74B5"/>
          <w:insideV w:val="single" w:sz="8" w:space="0" w:color="2E74B5"/>
        </w:tblBorders>
      </w:tblPr>
      <w:tblGrid>
        <w:gridCol w:w="9659"/>
      </w:tblGrid>
      <w:tr>
        <w:tc>
          <w:tcPr>
            <w:tcW w:type="dxa" w:w="9360"/>
            <w:shd w:fill="EAF2F8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2E74B5"/>
                <w:sz w:val="21"/>
              </w:rPr>
              <w:t>一句话结论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影目科技是中国消费级一体式显示型AI/AR眼镜赛道的重要创业公司，融资、产品迭代和地方产业协同均较突出；但尚未形成可由公开财务验证的规模化盈利证据，且知识产权、渠道效率、退货售后、关键器件依赖和数据合规决定其可持续性。建议“有条件推进、分阶段下注”。</w:t>
            </w:r>
          </w:p>
        </w:tc>
      </w:tr>
    </w:tbl>
    <w:p>
      <w:pPr>
        <w:spacing w:after="0"/>
      </w:pPr>
    </w:p>
    <w:p>
      <w:pPr>
        <w:pStyle w:val="Heading2"/>
      </w:pPr>
      <w:r>
        <w:t>1.1 核心判断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维度</w:t>
            </w:r>
          </w:p>
        </w:tc>
        <w:tc>
          <w:tcPr>
            <w:tcW w:type="dxa" w:w="22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判断</w:t>
            </w:r>
          </w:p>
        </w:tc>
        <w:tc>
          <w:tcPr>
            <w:tcW w:type="dxa" w:w="5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证据与含义</w:t>
            </w:r>
          </w:p>
        </w:tc>
      </w:tr>
      <w:tr>
        <w:trPr>
          <w:cantSplit/>
        </w:trPr>
        <w:tc>
          <w:tcPr>
            <w:tcW w:type="dxa" w:w="1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赛道</w:t>
            </w:r>
          </w:p>
        </w:tc>
        <w:tc>
          <w:tcPr>
            <w:tcW w:type="dxa" w:w="2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高增长、技术与体验仍未定型</w:t>
            </w:r>
          </w:p>
        </w:tc>
        <w:tc>
          <w:tcPr>
            <w:tcW w:type="dxa" w:w="5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IDC称2025年中国智能眼镜出货246万台、同比+87.1%；显示型产品仍受重量、功耗、亮度、视场角和续航约束。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[S22]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[S23]</w:t>
            </w:r>
          </w:p>
        </w:tc>
      </w:tr>
      <w:tr>
        <w:trPr>
          <w:cantSplit/>
        </w:trPr>
        <w:tc>
          <w:tcPr>
            <w:tcW w:type="dxa" w:w="1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公司位置</w:t>
            </w:r>
          </w:p>
        </w:tc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一体式AR细分具先发与品牌认知</w:t>
            </w:r>
          </w:p>
        </w:tc>
        <w:tc>
          <w:tcPr>
            <w:tcW w:type="dxa" w:w="5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AIR/GO双路线覆盖全彩娱乐与轻量翻译；2025年IDC中国品牌榜进入前五，但不同报告的“AR/智能眼镜/线上/全球”口径不可互换。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[S22]</w:t>
            </w:r>
          </w:p>
        </w:tc>
      </w:tr>
      <w:tr>
        <w:trPr>
          <w:cantSplit/>
        </w:trPr>
        <w:tc>
          <w:tcPr>
            <w:tcW w:type="dxa" w:w="1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资本与资源</w:t>
            </w:r>
          </w:p>
        </w:tc>
        <w:tc>
          <w:tcPr>
            <w:tcW w:type="dxa" w:w="2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融资能力强，地方产业资本深度绑定</w:t>
            </w:r>
          </w:p>
        </w:tc>
        <w:tc>
          <w:tcPr>
            <w:tcW w:type="dxa" w:w="5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2025年以来三轮融资合计近5亿元；总部落地成都、无锡建立光学模组合资产线，资本同时承担产能与场景导入角色。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[S02]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[S10]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[S11]</w:t>
            </w:r>
          </w:p>
        </w:tc>
      </w:tr>
      <w:tr>
        <w:trPr>
          <w:cantSplit/>
        </w:trPr>
        <w:tc>
          <w:tcPr>
            <w:tcW w:type="dxa" w:w="1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团队</w:t>
            </w:r>
          </w:p>
        </w:tc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产品型创始人主导，研发导向明显</w:t>
            </w:r>
          </w:p>
        </w:tc>
        <w:tc>
          <w:tcPr>
            <w:tcW w:type="dxa" w:w="5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杨龙昇有交互模组、酷派AR及创业经历；公开报道显示研发人员占比较高。团队对消费电子产品化和供应链协同具积累。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[S04]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</w:tr>
      <w:tr>
        <w:trPr>
          <w:cantSplit/>
        </w:trPr>
        <w:tc>
          <w:tcPr>
            <w:tcW w:type="dxa" w:w="1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商业化</w:t>
            </w:r>
          </w:p>
        </w:tc>
        <w:tc>
          <w:tcPr>
            <w:tcW w:type="dxa" w:w="2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已有销量与场景验证，质量仍弱于审计证据</w:t>
            </w:r>
          </w:p>
        </w:tc>
        <w:tc>
          <w:tcPr>
            <w:tcW w:type="dxa" w:w="5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管理层称2025年营收约2亿元并实现盈亏平衡、年度销量超10万副；未见审计报表、渠道Sell-through、激活率和退货率验证。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</w:tr>
      <w:tr>
        <w:trPr>
          <w:cantSplit/>
        </w:trPr>
        <w:tc>
          <w:tcPr>
            <w:tcW w:type="dxa" w:w="1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风险</w:t>
            </w:r>
          </w:p>
        </w:tc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中高</w:t>
            </w:r>
          </w:p>
        </w:tc>
        <w:tc>
          <w:tcPr>
            <w:tcW w:type="dxa" w:w="5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337调查已和解终止而非禁售，但和解义务未知；隐私政策主体名称仍为“深圳影目”、更新停留在2023年且存在占位邮箱，反映制度维护风险。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[S30]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[S32]</w:t>
            </w:r>
          </w:p>
        </w:tc>
      </w:tr>
    </w:tbl>
    <w:p>
      <w:pPr>
        <w:spacing w:after="0"/>
      </w:pPr>
    </w:p>
    <w:p>
      <w:pPr>
        <w:pStyle w:val="Heading2"/>
      </w:pPr>
      <w:r>
        <w:t>1.2 建议的交易立场</w:t>
      </w:r>
    </w:p>
    <w:p>
      <w:r>
        <w:rPr>
          <w:rFonts w:ascii="Arial" w:hAnsi="Arial" w:eastAsia="Noto Sans CJK SC"/>
          <w:color w:val="1F1F1F"/>
          <w:sz w:val="21"/>
        </w:rPr>
        <w:t>本报告不建议投资机构仅凭融资背书或媒体市占率直接放大敞口。更稳妥的做法是先完成财务、设备运营、股权、供应链、知识产权和数据合规验证，再通过分期交割和可追索的数据承诺控制风险。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第一阶段（可推进）：签署保密协议，开放财务、合同、订单、激活、退货和知识产权数据室；完成主体、股权、债务和关联方穿透。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第二阶段（条件满足后）：小额投资/试订单/区域试销，绑定毛利、30/90日留存、退货率、故障率、回款和库存周转里程碑。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第三阶段（规模化）：在337和解无重大限制、核心器件有双供、数据合规整改完成且经审计毛利与现金转换率达到约定后再扩大。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</w:tblPr>
      <w:tblGrid>
        <w:gridCol w:w="9659"/>
      </w:tblGrid>
      <w:tr>
        <w:tc>
          <w:tcPr>
            <w:tcW w:type="dxa" w:w="9360"/>
            <w:shd w:fill="F4CCCC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C00000"/>
                <w:sz w:val="21"/>
              </w:rPr>
              <w:t>否决性事项（Red-line）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若出现未披露代持或对赌导致控制权不稳、337和解包含不可承受的持续许可费/销售限制、核心产品退货或售后成本吞噬毛利、数据处理无法满足国内与海外合规、或审计收入与设备激活/回款显著背离，应暂停或重定价。</w:t>
            </w:r>
          </w:p>
        </w:tc>
      </w:tr>
    </w:tbl>
    <w:p>
      <w:pPr>
        <w:spacing w:after="0"/>
      </w:pPr>
    </w:p>
    <w:p>
      <w:pPr>
        <w:pStyle w:val="Heading2"/>
      </w:pPr>
      <w:r>
        <w:t>1.3 关键数据快照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指标</w:t>
            </w:r>
          </w:p>
        </w:tc>
        <w:tc>
          <w:tcPr>
            <w:tcW w:type="dxa" w:w="31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公开口径</w:t>
            </w:r>
          </w:p>
        </w:tc>
        <w:tc>
          <w:tcPr>
            <w:tcW w:type="dxa" w:w="43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可信度/备注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成立与迁址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2020-12-30成立；2024年主体由深圳迁至成都并更名</w:t>
            </w:r>
          </w:p>
        </w:tc>
        <w:tc>
          <w:tcPr>
            <w:tcW w:type="dxa" w:w="4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工商平台+官方产业基金，较高。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[S01]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[S02]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法定代表人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杨龙昇</w:t>
            </w:r>
          </w:p>
        </w:tc>
        <w:tc>
          <w:tcPr>
            <w:tcW w:type="dxa" w:w="4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工商平台，需最新营业执照复核。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[S01]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注册资本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392.5188万元人民币</w:t>
            </w:r>
          </w:p>
        </w:tc>
        <w:tc>
          <w:tcPr>
            <w:tcW w:type="dxa" w:w="4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工商平台；不等同公司估值或资产规模。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[S01]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参保人数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2025年报口径123人</w:t>
            </w:r>
          </w:p>
        </w:tc>
        <w:tc>
          <w:tcPr>
            <w:tcW w:type="dxa" w:w="4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参保人数不等于总员工；媒体曾称约150人。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[S01]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2025营收/盈亏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约2亿元、盈亏平衡</w:t>
            </w:r>
          </w:p>
        </w:tc>
        <w:tc>
          <w:tcPr>
            <w:tcW w:type="dxa" w:w="4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管理层对媒体口径，未经审计。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2025后融资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三轮合计近5亿元</w:t>
            </w:r>
          </w:p>
        </w:tc>
        <w:tc>
          <w:tcPr>
            <w:tcW w:type="dxa" w:w="4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证券时报等公开报道，轮次金额部分未完全披露。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[S10]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无锡产能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首线设计年产10万副</w:t>
            </w:r>
          </w:p>
        </w:tc>
        <w:tc>
          <w:tcPr>
            <w:tcW w:type="dxa" w:w="4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官方/地方报道口径；实际良率与爬坡未知。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[S11]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知识产权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媒体援引平台称101项专利、76枚商标</w:t>
            </w:r>
          </w:p>
        </w:tc>
        <w:tc>
          <w:tcPr>
            <w:tcW w:type="dxa" w:w="4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数量不代表有效授权、权利稳定性或FTO。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[S36]</w:t>
            </w:r>
          </w:p>
        </w:tc>
      </w:tr>
    </w:tbl>
    <w:p>
      <w:pPr>
        <w:spacing w:after="0"/>
      </w:pPr>
    </w:p>
    <w:p>
      <w:pPr>
        <w:pStyle w:val="Heading1"/>
      </w:pPr>
      <w:r>
        <w:t>2. 调研范围、方法与证据质量</w:t>
      </w:r>
    </w:p>
    <w:p>
      <w:r>
        <w:rPr>
          <w:rFonts w:ascii="Arial" w:hAnsi="Arial" w:eastAsia="Noto Sans CJK SC"/>
          <w:color w:val="1F1F1F"/>
          <w:sz w:val="21"/>
        </w:rPr>
        <w:t>本次检索覆盖中文与英文公开网络，重点使用政府/监管平台、企业官网、投资机构、供应商官网、主流财经媒体、产业研究机构与专利文本；并对同一事项进行主体名、旧名、品牌名和英文名交叉检索。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4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等级</w:t>
            </w:r>
          </w:p>
        </w:tc>
        <w:tc>
          <w:tcPr>
            <w:tcW w:type="dxa" w:w="3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定义</w:t>
            </w:r>
          </w:p>
        </w:tc>
        <w:tc>
          <w:tcPr>
            <w:tcW w:type="dxa" w:w="43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本报告用法</w:t>
            </w:r>
          </w:p>
        </w:tc>
      </w:tr>
      <w:tr>
        <w:trPr>
          <w:cantSplit/>
        </w:trPr>
        <w:tc>
          <w:tcPr>
            <w:tcW w:type="dxa" w:w="14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A｜强证据</w:t>
            </w:r>
          </w:p>
        </w:tc>
        <w:tc>
          <w:tcPr>
            <w:tcW w:type="dxa" w:w="3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政府、监管、法院/仲裁、公司或交易对手官方原文</w:t>
            </w:r>
          </w:p>
        </w:tc>
        <w:tc>
          <w:tcPr>
            <w:tcW w:type="dxa" w:w="43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可作为事实基础，但仍关注发布时间和法律状态。</w:t>
            </w:r>
          </w:p>
        </w:tc>
      </w:tr>
      <w:tr>
        <w:trPr>
          <w:cantSplit/>
        </w:trPr>
        <w:tc>
          <w:tcPr>
            <w:tcW w:type="dxa" w:w="14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B｜中证据</w:t>
            </w:r>
          </w:p>
        </w:tc>
        <w:tc>
          <w:tcPr>
            <w:tcW w:type="dxa" w:w="3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主流媒体对当事人采访、证券/产业研究、两家以上独立来源一致</w:t>
            </w:r>
          </w:p>
        </w:tc>
        <w:tc>
          <w:tcPr>
            <w:tcW w:type="dxa" w:w="43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作为经营判断依据，并注明“管理层/媒体口径”。</w:t>
            </w:r>
          </w:p>
        </w:tc>
      </w:tr>
      <w:tr>
        <w:trPr>
          <w:cantSplit/>
        </w:trPr>
        <w:tc>
          <w:tcPr>
            <w:tcW w:type="dxa" w:w="14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C｜弱证据</w:t>
            </w:r>
          </w:p>
        </w:tc>
        <w:tc>
          <w:tcPr>
            <w:tcW w:type="dxa" w:w="3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商业数据库、单一媒体、用户评论、二次转载</w:t>
            </w:r>
          </w:p>
        </w:tc>
        <w:tc>
          <w:tcPr>
            <w:tcW w:type="dxa" w:w="43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仅作线索或风险提示，不单独形成结论。</w:t>
            </w:r>
          </w:p>
        </w:tc>
      </w:tr>
      <w:tr>
        <w:trPr>
          <w:cantSplit/>
        </w:trPr>
        <w:tc>
          <w:tcPr>
            <w:tcW w:type="dxa" w:w="14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D｜未验证</w:t>
            </w:r>
          </w:p>
        </w:tc>
        <w:tc>
          <w:tcPr>
            <w:tcW w:type="dxa" w:w="3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匿名爆料、AI生成摘要、无法追溯来源的市占率/估值</w:t>
            </w:r>
          </w:p>
        </w:tc>
        <w:tc>
          <w:tcPr>
            <w:tcW w:type="dxa" w:w="43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不纳入事实结论；如有决策价值，仅列待核问题。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工商平台中的实缴资本、股权比例、对外投资数量存在更新延迟或付费墙限制；因此报告不提供未经企业文件确认的“最终受益人百分比”。</w:t>
      </w:r>
    </w:p>
    <w:p>
      <w:pPr>
        <w:pStyle w:val="Heading1"/>
      </w:pPr>
      <w:r>
        <w:t>3. 公司主体与发展沿革</w:t>
      </w:r>
    </w:p>
    <w:p>
      <w:pPr>
        <w:pStyle w:val="Heading2"/>
      </w:pPr>
      <w:r>
        <w:t>3.1 工商与经营概况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7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项目</w:t>
            </w:r>
          </w:p>
        </w:tc>
        <w:tc>
          <w:tcPr>
            <w:tcW w:type="dxa" w:w="3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公开信息</w:t>
            </w:r>
          </w:p>
        </w:tc>
        <w:tc>
          <w:tcPr>
            <w:tcW w:type="dxa" w:w="37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尽调解读</w:t>
            </w:r>
          </w:p>
        </w:tc>
      </w:tr>
      <w:tr>
        <w:trPr>
          <w:cantSplit/>
        </w:trPr>
        <w:tc>
          <w:tcPr>
            <w:tcW w:type="dxa" w:w="1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主体名称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四川影目科技有限公司（曾用名：深圳影目科技有限公司）</w:t>
            </w:r>
          </w:p>
        </w:tc>
        <w:tc>
          <w:tcPr>
            <w:tcW w:type="dxa" w:w="37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迁址更名后，历史合同、知识产权、隐私政策和海外认证是否同步变更需逐项检查。</w:t>
            </w:r>
          </w:p>
        </w:tc>
      </w:tr>
      <w:tr>
        <w:trPr>
          <w:cantSplit/>
        </w:trPr>
        <w:tc>
          <w:tcPr>
            <w:tcW w:type="dxa" w:w="1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统一社会信用代码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91440300MA5GK1DL78</w:t>
            </w:r>
          </w:p>
        </w:tc>
        <w:tc>
          <w:tcPr>
            <w:tcW w:type="dxa" w:w="37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迁址后代码通常保持不变，仍以最新营业执照为准。</w:t>
            </w:r>
          </w:p>
        </w:tc>
      </w:tr>
      <w:tr>
        <w:trPr>
          <w:cantSplit/>
        </w:trPr>
        <w:tc>
          <w:tcPr>
            <w:tcW w:type="dxa" w:w="1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成立日期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2020年12月30日</w:t>
            </w:r>
          </w:p>
        </w:tc>
        <w:tc>
          <w:tcPr>
            <w:tcW w:type="dxa" w:w="37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业务团队在2021年前后由酷派相关业务独立运营。</w:t>
            </w:r>
          </w:p>
        </w:tc>
      </w:tr>
      <w:tr>
        <w:trPr>
          <w:cantSplit/>
        </w:trPr>
        <w:tc>
          <w:tcPr>
            <w:tcW w:type="dxa" w:w="1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法定代表人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杨龙昇</w:t>
            </w:r>
          </w:p>
        </w:tc>
        <w:tc>
          <w:tcPr>
            <w:tcW w:type="dxa" w:w="37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亦为创始人、CEO；关键人集中度较高。</w:t>
            </w:r>
          </w:p>
        </w:tc>
      </w:tr>
      <w:tr>
        <w:trPr>
          <w:cantSplit/>
        </w:trPr>
        <w:tc>
          <w:tcPr>
            <w:tcW w:type="dxa" w:w="1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注册地址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四川省成都市成华区航天路31号2栋8层2号附3号</w:t>
            </w:r>
          </w:p>
        </w:tc>
        <w:tc>
          <w:tcPr>
            <w:tcW w:type="dxa" w:w="37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建议现场核验总部研发、人员、资产与税收归属。</w:t>
            </w:r>
          </w:p>
        </w:tc>
      </w:tr>
      <w:tr>
        <w:trPr>
          <w:cantSplit/>
        </w:trPr>
        <w:tc>
          <w:tcPr>
            <w:tcW w:type="dxa" w:w="1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注册资本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392.5188万元</w:t>
            </w:r>
          </w:p>
        </w:tc>
        <w:tc>
          <w:tcPr>
            <w:tcW w:type="dxa" w:w="37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注册资本小于外部融资规模，资金主要体现为资本公积/股东借款等的可能性需审计确认。</w:t>
            </w:r>
          </w:p>
        </w:tc>
      </w:tr>
      <w:tr>
        <w:trPr>
          <w:cantSplit/>
        </w:trPr>
        <w:tc>
          <w:tcPr>
            <w:tcW w:type="dxa" w:w="1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企业类型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有限责任公司（港澳台投资、非独资）</w:t>
            </w:r>
          </w:p>
        </w:tc>
        <w:tc>
          <w:tcPr>
            <w:tcW w:type="dxa" w:w="37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股东中存在香港投资实体，经新香港第六有限公司。</w:t>
            </w:r>
          </w:p>
        </w:tc>
      </w:tr>
      <w:tr>
        <w:trPr>
          <w:cantSplit/>
        </w:trPr>
        <w:tc>
          <w:tcPr>
            <w:tcW w:type="dxa" w:w="1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经营范围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智能穿戴、VR/AR、软件、集成电路、眼镜、进出口等</w:t>
            </w:r>
          </w:p>
        </w:tc>
        <w:tc>
          <w:tcPr>
            <w:tcW w:type="dxa" w:w="37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覆盖研发、销售与进出口；具体生产资质和委外责任另核。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以上主要来自商业工商平台与官方产业基金报道。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[S01]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[S02]</w:t>
      </w:r>
      <w:r>
        <w:rPr>
          <w:rFonts w:ascii="Arial" w:hAnsi="Arial" w:eastAsia="Noto Sans CJK SC"/>
          <w:color w:val="1F1F1F"/>
          <w:sz w:val="21"/>
        </w:rPr>
        <w:t xml:space="preserve"> 最新章程、工商内档和外商投资信息报告应列为交割前文件。</w:t>
      </w:r>
    </w:p>
    <w:p>
      <w:pPr>
        <w:pStyle w:val="Heading2"/>
      </w:pPr>
      <w:r>
        <w:t>3.2 关键发展时间线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4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时间</w:t>
            </w:r>
          </w:p>
        </w:tc>
        <w:tc>
          <w:tcPr>
            <w:tcW w:type="dxa" w:w="442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事件</w:t>
            </w:r>
          </w:p>
        </w:tc>
        <w:tc>
          <w:tcPr>
            <w:tcW w:type="dxa" w:w="354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意义</w:t>
            </w:r>
          </w:p>
        </w:tc>
      </w:tr>
      <w:tr>
        <w:trPr>
          <w:cantSplit/>
        </w:trPr>
        <w:tc>
          <w:tcPr>
            <w:tcW w:type="dxa" w:w="14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2015—2016</w:t>
            </w:r>
          </w:p>
        </w:tc>
        <w:tc>
          <w:tcPr>
            <w:tcW w:type="dxa" w:w="442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杨龙昇参与交互模组创业，后加入酷派负责消费级AR业务</w:t>
            </w:r>
          </w:p>
        </w:tc>
        <w:tc>
          <w:tcPr>
            <w:tcW w:type="dxa" w:w="354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形成早期产品、光学交互和量产经验。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</w:tr>
      <w:tr>
        <w:trPr>
          <w:cantSplit/>
        </w:trPr>
        <w:tc>
          <w:tcPr>
            <w:tcW w:type="dxa" w:w="14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2020-12</w:t>
            </w:r>
          </w:p>
        </w:tc>
        <w:tc>
          <w:tcPr>
            <w:tcW w:type="dxa" w:w="442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深圳影目科技主体成立</w:t>
            </w:r>
          </w:p>
        </w:tc>
        <w:tc>
          <w:tcPr>
            <w:tcW w:type="dxa" w:w="354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创业主体落地。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[S01]</w:t>
            </w:r>
          </w:p>
        </w:tc>
      </w:tr>
      <w:tr>
        <w:trPr>
          <w:cantSplit/>
        </w:trPr>
        <w:tc>
          <w:tcPr>
            <w:tcW w:type="dxa" w:w="14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2021</w:t>
            </w:r>
          </w:p>
        </w:tc>
        <w:tc>
          <w:tcPr>
            <w:tcW w:type="dxa" w:w="442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酷派AR/智能穿戴团队独立；完成天使与Pre-A轮</w:t>
            </w:r>
          </w:p>
        </w:tc>
        <w:tc>
          <w:tcPr>
            <w:tcW w:type="dxa" w:w="354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完成IP与团队剥离，资本化启动。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[S03]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[S04]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[S09]</w:t>
            </w:r>
          </w:p>
        </w:tc>
      </w:tr>
      <w:tr>
        <w:trPr>
          <w:cantSplit/>
        </w:trPr>
        <w:tc>
          <w:tcPr>
            <w:tcW w:type="dxa" w:w="14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2022</w:t>
            </w:r>
          </w:p>
        </w:tc>
        <w:tc>
          <w:tcPr>
            <w:tcW w:type="dxa" w:w="442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完成近千万美元A轮；AIR系列推进</w:t>
            </w:r>
          </w:p>
        </w:tc>
        <w:tc>
          <w:tcPr>
            <w:tcW w:type="dxa" w:w="354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挚文集团等投资，强化消费级产品化。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[S09]</w:t>
            </w:r>
          </w:p>
        </w:tc>
      </w:tr>
      <w:tr>
        <w:trPr>
          <w:cantSplit/>
        </w:trPr>
        <w:tc>
          <w:tcPr>
            <w:tcW w:type="dxa" w:w="14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2024-07/09</w:t>
            </w:r>
          </w:p>
        </w:tc>
        <w:tc>
          <w:tcPr>
            <w:tcW w:type="dxa" w:w="442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近亿元B轮；总部迁成都并更名为四川影目</w:t>
            </w:r>
          </w:p>
        </w:tc>
        <w:tc>
          <w:tcPr>
            <w:tcW w:type="dxa" w:w="354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地方产业资本与区域总部战略结合。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[S02]</w:t>
            </w:r>
          </w:p>
        </w:tc>
      </w:tr>
      <w:tr>
        <w:trPr>
          <w:cantSplit/>
        </w:trPr>
        <w:tc>
          <w:tcPr>
            <w:tcW w:type="dxa" w:w="14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</w:t>
            </w:r>
          </w:p>
        </w:tc>
        <w:tc>
          <w:tcPr>
            <w:tcW w:type="dxa" w:w="442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B2、B3融资；GO2/AIR3与行业场景扩张</w:t>
            </w:r>
          </w:p>
        </w:tc>
        <w:tc>
          <w:tcPr>
            <w:tcW w:type="dxa" w:w="354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资金用于产品、AI、供应链、线下渠道及文旅场景。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[S21]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[S38]</w:t>
            </w:r>
          </w:p>
        </w:tc>
      </w:tr>
      <w:tr>
        <w:trPr>
          <w:cantSplit/>
        </w:trPr>
        <w:tc>
          <w:tcPr>
            <w:tcW w:type="dxa" w:w="14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2025-12</w:t>
            </w:r>
          </w:p>
        </w:tc>
        <w:tc>
          <w:tcPr>
            <w:tcW w:type="dxa" w:w="442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无锡阵列光波导量产线投产；USITC对INMO调查因和解终止</w:t>
            </w:r>
          </w:p>
        </w:tc>
        <w:tc>
          <w:tcPr>
            <w:tcW w:type="dxa" w:w="354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制造纵向整合与海外IP风险处置并行。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[S11]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[S30]</w:t>
            </w:r>
          </w:p>
        </w:tc>
      </w:tr>
      <w:tr>
        <w:trPr>
          <w:cantSplit/>
        </w:trPr>
        <w:tc>
          <w:tcPr>
            <w:tcW w:type="dxa" w:w="14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2026-01</w:t>
            </w:r>
          </w:p>
        </w:tc>
        <w:tc>
          <w:tcPr>
            <w:tcW w:type="dxa" w:w="442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C1轮融资，2025年以来三轮合计近5亿元</w:t>
            </w:r>
          </w:p>
        </w:tc>
        <w:tc>
          <w:tcPr>
            <w:tcW w:type="dxa" w:w="354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融资能力延续，但估值与优先权条款未披露。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[S10]</w:t>
            </w:r>
          </w:p>
        </w:tc>
      </w:tr>
      <w:tr>
        <w:trPr>
          <w:cantSplit/>
        </w:trPr>
        <w:tc>
          <w:tcPr>
            <w:tcW w:type="dxa" w:w="14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2026-07</w:t>
            </w:r>
          </w:p>
        </w:tc>
        <w:tc>
          <w:tcPr>
            <w:tcW w:type="dxa" w:w="442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GO3/X系列与海外市场、时尚合作推进</w:t>
            </w:r>
          </w:p>
        </w:tc>
        <w:tc>
          <w:tcPr>
            <w:tcW w:type="dxa" w:w="354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从功能型AR向轻量翻译、时尚和全球渠道扩展。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[S16]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[S41]</w:t>
            </w:r>
          </w:p>
        </w:tc>
      </w:tr>
    </w:tbl>
    <w:p>
      <w:pPr>
        <w:spacing w:after="0"/>
      </w:pPr>
    </w:p>
    <w:p>
      <w:pPr>
        <w:pStyle w:val="Heading1"/>
      </w:pPr>
      <w:r>
        <w:t>4. 股权、融资与治理</w:t>
      </w:r>
    </w:p>
    <w:p>
      <w:pPr>
        <w:pStyle w:val="Heading2"/>
      </w:pPr>
      <w:r>
        <w:t>4.1 可识别股东与控制权</w:t>
      </w:r>
    </w:p>
    <w:p>
      <w:r>
        <w:rPr>
          <w:rFonts w:ascii="Arial" w:hAnsi="Arial" w:eastAsia="Noto Sans CJK SC"/>
          <w:color w:val="1F1F1F"/>
          <w:sz w:val="21"/>
        </w:rPr>
        <w:t>公开报道援引商业数据库显示，股东包括杨龙昇、宁波影目企业管理合伙企业（有限合伙）、经新香港第六有限公司、北京壹六零二信息技术有限公司、杭州老鹰亿磊创业投资合伙企业等。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[S36]</w:t>
      </w:r>
      <w:r>
        <w:rPr>
          <w:rFonts w:ascii="Arial" w:hAnsi="Arial" w:eastAsia="Noto Sans CJK SC"/>
          <w:color w:val="1F1F1F"/>
          <w:sz w:val="21"/>
        </w:rPr>
        <w:t xml:space="preserve"> 由于后续多轮融资、员工持股平台、优先股权利及潜在代持无法从免费公开页面完整穿透，本报告不对创始人最终持股比例和表决权作确定结论。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2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主体</w:t>
            </w:r>
          </w:p>
        </w:tc>
        <w:tc>
          <w:tcPr>
            <w:tcW w:type="dxa" w:w="31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可能角色</w:t>
            </w:r>
          </w:p>
        </w:tc>
        <w:tc>
          <w:tcPr>
            <w:tcW w:type="dxa" w:w="37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核验重点</w:t>
            </w:r>
          </w:p>
        </w:tc>
      </w:tr>
      <w:tr>
        <w:trPr>
          <w:cantSplit/>
        </w:trPr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杨龙昇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创始人、CEO、法定代表人、核心自然人股东</w:t>
            </w:r>
          </w:p>
        </w:tc>
        <w:tc>
          <w:tcPr>
            <w:tcW w:type="dxa" w:w="3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最新持股/表决权、婚姻财产安排、股权质押、关键人保险、竞业与IP归属。</w:t>
            </w:r>
          </w:p>
        </w:tc>
      </w:tr>
      <w:tr>
        <w:trPr>
          <w:cantSplit/>
        </w:trPr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宁波影目企业管理合伙企业（有限合伙）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从名称判断可能为创始/员工持股平台（分析推断）</w:t>
            </w:r>
          </w:p>
        </w:tc>
        <w:tc>
          <w:tcPr>
            <w:tcW w:type="dxa" w:w="3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GP/LP、授予名单、离职回购、税务、表决委托。</w:t>
            </w:r>
          </w:p>
        </w:tc>
      </w:tr>
      <w:tr>
        <w:trPr>
          <w:cantSplit/>
        </w:trPr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经新香港第六有限公司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境外机构投资股东</w:t>
            </w:r>
          </w:p>
        </w:tc>
        <w:tc>
          <w:tcPr>
            <w:tcW w:type="dxa" w:w="3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穿透受益人、外资准入/信息报告、特殊权利。</w:t>
            </w:r>
          </w:p>
        </w:tc>
      </w:tr>
      <w:tr>
        <w:trPr>
          <w:cantSplit/>
        </w:trPr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北京壹六零二信息技术有限公司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挚文集团相关投资主体线索</w:t>
            </w:r>
          </w:p>
        </w:tc>
        <w:tc>
          <w:tcPr>
            <w:tcW w:type="dxa" w:w="3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关联关系、董事席位、商业合作与投资条款。</w:t>
            </w:r>
          </w:p>
        </w:tc>
      </w:tr>
      <w:tr>
        <w:trPr>
          <w:cantSplit/>
        </w:trPr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老鹰亿磊等基金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早期财务投资人</w:t>
            </w:r>
          </w:p>
        </w:tc>
        <w:tc>
          <w:tcPr>
            <w:tcW w:type="dxa" w:w="3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清算优先权、反稀释、回购/对赌、共同出售权。</w:t>
            </w:r>
          </w:p>
        </w:tc>
      </w:tr>
      <w:tr>
        <w:trPr>
          <w:cantSplit/>
        </w:trPr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后续产业资本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四川、成都、无锡、洛阳等地方/产业资金</w:t>
            </w:r>
          </w:p>
        </w:tc>
        <w:tc>
          <w:tcPr>
            <w:tcW w:type="dxa" w:w="3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投资主体是否已完成工商变更、产业落地承诺、产值/税收/回购约束。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BF9000"/>
          <w:left w:val="single" w:sz="8" w:space="0" w:color="BF9000"/>
          <w:bottom w:val="single" w:sz="8" w:space="0" w:color="BF9000"/>
          <w:right w:val="single" w:sz="8" w:space="0" w:color="BF9000"/>
          <w:insideH w:val="single" w:sz="8" w:space="0" w:color="BF9000"/>
          <w:insideV w:val="single" w:sz="8" w:space="0" w:color="BF9000"/>
        </w:tblBorders>
      </w:tblPr>
      <w:tblGrid>
        <w:gridCol w:w="9659"/>
      </w:tblGrid>
      <w:tr>
        <w:tc>
          <w:tcPr>
            <w:tcW w:type="dxa" w:w="9360"/>
            <w:shd w:fill="FFF2CC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BF9000"/>
                <w:sz w:val="21"/>
              </w:rPr>
              <w:t>治理判断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创始人兼任CEO和法定代表人有利于执行效率，但融资轮次多、产业资本多地域介入，容易形成特殊股东权利、地方落地义务和关联交易复杂化。须取得“完全摊薄股权表+章程+全部投资协议+董事会/监事/高级管理人员名册”后再判断控制权稳定性。</w:t>
            </w:r>
          </w:p>
        </w:tc>
      </w:tr>
    </w:tbl>
    <w:p>
      <w:pPr>
        <w:spacing w:after="0"/>
      </w:pPr>
    </w:p>
    <w:p>
      <w:pPr>
        <w:pStyle w:val="Heading2"/>
      </w:pPr>
      <w:r>
        <w:t>4.2 融资历程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轮次/时间</w:t>
            </w:r>
          </w:p>
        </w:tc>
        <w:tc>
          <w:tcPr>
            <w:tcW w:type="dxa" w:w="15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金额口径</w:t>
            </w:r>
          </w:p>
        </w:tc>
        <w:tc>
          <w:tcPr>
            <w:tcW w:type="dxa" w:w="32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主要投资方（公开）</w:t>
            </w:r>
          </w:p>
        </w:tc>
        <w:tc>
          <w:tcPr>
            <w:tcW w:type="dxa" w:w="29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战略含义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天使｜2021-02</w:t>
            </w:r>
          </w:p>
        </w:tc>
        <w:tc>
          <w:tcPr>
            <w:tcW w:type="dxa" w:w="1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数千万元</w:t>
            </w:r>
          </w:p>
        </w:tc>
        <w:tc>
          <w:tcPr>
            <w:tcW w:type="dxa" w:w="3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老鹰基金、容璞资本、三七互娱</w:t>
            </w:r>
          </w:p>
        </w:tc>
        <w:tc>
          <w:tcPr>
            <w:tcW w:type="dxa" w:w="29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团队独立后的早期研发和产品化。</w:t>
            </w:r>
          </w:p>
        </w:tc>
      </w:tr>
      <w:tr>
        <w:trPr>
          <w:cantSplit/>
        </w:trPr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Pre-A｜2021-11</w:t>
            </w:r>
          </w:p>
        </w:tc>
        <w:tc>
          <w:tcPr>
            <w:tcW w:type="dxa" w:w="1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数千万元</w:t>
            </w:r>
          </w:p>
        </w:tc>
        <w:tc>
          <w:tcPr>
            <w:tcW w:type="dxa" w:w="3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经纬创投、九合创投、君盛投资、宜来资本</w:t>
            </w:r>
          </w:p>
        </w:tc>
        <w:tc>
          <w:tcPr>
            <w:tcW w:type="dxa" w:w="29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消费电子和AR方向获头部早期机构认可。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A｜2022-05</w:t>
            </w:r>
          </w:p>
        </w:tc>
        <w:tc>
          <w:tcPr>
            <w:tcW w:type="dxa" w:w="1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近1,000万美元</w:t>
            </w:r>
          </w:p>
        </w:tc>
        <w:tc>
          <w:tcPr>
            <w:tcW w:type="dxa" w:w="3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挚文集团等</w:t>
            </w:r>
          </w:p>
        </w:tc>
        <w:tc>
          <w:tcPr>
            <w:tcW w:type="dxa" w:w="29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内容/社交生态潜在协同。</w:t>
            </w:r>
          </w:p>
        </w:tc>
      </w:tr>
      <w:tr>
        <w:trPr>
          <w:cantSplit/>
        </w:trPr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B｜2024-07</w:t>
            </w:r>
          </w:p>
        </w:tc>
        <w:tc>
          <w:tcPr>
            <w:tcW w:type="dxa" w:w="1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近1亿元</w:t>
            </w:r>
          </w:p>
        </w:tc>
        <w:tc>
          <w:tcPr>
            <w:tcW w:type="dxa" w:w="3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四川数字经济基金、成华科创投、江西中寰</w:t>
            </w:r>
          </w:p>
        </w:tc>
        <w:tc>
          <w:tcPr>
            <w:tcW w:type="dxa" w:w="29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总部迁成都及产业落地。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[S02]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B2｜2025-07</w:t>
            </w:r>
          </w:p>
        </w:tc>
        <w:tc>
          <w:tcPr>
            <w:tcW w:type="dxa" w:w="1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超1.5亿元</w:t>
            </w:r>
          </w:p>
        </w:tc>
        <w:tc>
          <w:tcPr>
            <w:tcW w:type="dxa" w:w="3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普华资本、梁溪产发、神骐资本</w:t>
            </w:r>
          </w:p>
        </w:tc>
        <w:tc>
          <w:tcPr>
            <w:tcW w:type="dxa" w:w="29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产品、AI、供应链、线下渠道；无锡协同。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[S38]</w:t>
            </w:r>
          </w:p>
        </w:tc>
      </w:tr>
      <w:tr>
        <w:trPr>
          <w:cantSplit/>
        </w:trPr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B3｜2025-08</w:t>
            </w:r>
          </w:p>
        </w:tc>
        <w:tc>
          <w:tcPr>
            <w:tcW w:type="dxa" w:w="1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未披露</w:t>
            </w:r>
          </w:p>
        </w:tc>
        <w:tc>
          <w:tcPr>
            <w:tcW w:type="dxa" w:w="3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源铄基金（洛阳文旅方向）</w:t>
            </w:r>
          </w:p>
        </w:tc>
        <w:tc>
          <w:tcPr>
            <w:tcW w:type="dxa" w:w="29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文旅场景与“一镜游洛阳”。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[S21]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C1｜2026-01</w:t>
            </w:r>
          </w:p>
        </w:tc>
        <w:tc>
          <w:tcPr>
            <w:tcW w:type="dxa" w:w="1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数亿元</w:t>
            </w:r>
          </w:p>
        </w:tc>
        <w:tc>
          <w:tcPr>
            <w:tcW w:type="dxa" w:w="3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成都科创投、南山战新投、普丰资本</w:t>
            </w:r>
          </w:p>
        </w:tc>
        <w:tc>
          <w:tcPr>
            <w:tcW w:type="dxa" w:w="29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持续研发与全球化；2025年以来三轮合计近5亿元。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[S10]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融资金额为公开报道口径，未核对入账凭证、估值、优先权、回购、对赌和资金使用。不能将“融资额”直接等同可用现金。</w:t>
      </w:r>
    </w:p>
    <w:p>
      <w:pPr>
        <w:pStyle w:val="Heading1"/>
      </w:pPr>
      <w:r>
        <w:t>5. 创始团队与关键负责人</w:t>
      </w:r>
    </w:p>
    <w:p>
      <w:pPr>
        <w:pStyle w:val="Heading2"/>
      </w:pPr>
      <w:r>
        <w:t>5.1 创始人：杨龙昇</w:t>
      </w:r>
    </w:p>
    <w:p>
      <w:r>
        <w:rPr>
          <w:rFonts w:ascii="Arial" w:hAnsi="Arial" w:eastAsia="Noto Sans CJK SC"/>
          <w:color w:val="1F1F1F"/>
          <w:sz w:val="21"/>
        </w:rPr>
        <w:t>杨龙昇为公司创始人、CEO和法定代表人。公开采访称其2013年金融专业毕业后自学编程，曾在深圳创客空间从事产品工作；2015年前后参与创业，为PICO、暴风及华为、百度相关项目提供交互模组支持；2016年加入酷派，负责消费级AR业务；2021年前后带领团队独立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[S03]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[S05]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评价维度</w:t>
            </w:r>
          </w:p>
        </w:tc>
        <w:tc>
          <w:tcPr>
            <w:tcW w:type="dxa" w:w="3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观察</w:t>
            </w:r>
          </w:p>
        </w:tc>
        <w:tc>
          <w:tcPr>
            <w:tcW w:type="dxa" w:w="36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尽调含义</w:t>
            </w:r>
          </w:p>
        </w:tc>
      </w:tr>
      <w:tr>
        <w:trPr>
          <w:cantSplit/>
        </w:trPr>
        <w:tc>
          <w:tcPr>
            <w:tcW w:type="dxa" w:w="1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产品与技术理解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从交互模组、手机厂AR到一体式眼镜，路径连续</w:t>
            </w:r>
          </w:p>
        </w:tc>
        <w:tc>
          <w:tcPr>
            <w:tcW w:type="dxa" w:w="3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有利于跨光学、硬件、OS和应用做产品取舍。</w:t>
            </w:r>
          </w:p>
        </w:tc>
      </w:tr>
      <w:tr>
        <w:trPr>
          <w:cantSplit/>
        </w:trPr>
        <w:tc>
          <w:tcPr>
            <w:tcW w:type="dxa" w:w="1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创业韧性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经历团队剥离、多轮融资、迁址和双产品线</w:t>
            </w:r>
          </w:p>
        </w:tc>
        <w:tc>
          <w:tcPr>
            <w:tcW w:type="dxa" w:w="3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执行力较强，但组织对创始人依赖可能高。</w:t>
            </w:r>
          </w:p>
        </w:tc>
      </w:tr>
      <w:tr>
        <w:trPr>
          <w:cantSplit/>
        </w:trPr>
        <w:tc>
          <w:tcPr>
            <w:tcW w:type="dxa" w:w="1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资本与政府协同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能引入多地产业资本并获取场景资源</w:t>
            </w:r>
          </w:p>
        </w:tc>
        <w:tc>
          <w:tcPr>
            <w:tcW w:type="dxa" w:w="3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资源获取能力强，同时需防范地方承诺与商业目标冲突。</w:t>
            </w:r>
          </w:p>
        </w:tc>
      </w:tr>
      <w:tr>
        <w:trPr>
          <w:cantSplit/>
        </w:trPr>
        <w:tc>
          <w:tcPr>
            <w:tcW w:type="dxa" w:w="1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待验证项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公开履历详尽但缺少治理和财务控制信息</w:t>
            </w:r>
          </w:p>
        </w:tc>
        <w:tc>
          <w:tcPr>
            <w:tcW w:type="dxa" w:w="3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需背景调查、诚信访谈、历史创业/竞业/IP交割材料及关键人继任计划。</w:t>
            </w:r>
          </w:p>
        </w:tc>
      </w:tr>
    </w:tbl>
    <w:p>
      <w:pPr>
        <w:spacing w:after="0"/>
      </w:pPr>
    </w:p>
    <w:p>
      <w:pPr>
        <w:pStyle w:val="Heading2"/>
      </w:pPr>
      <w:r>
        <w:t>5.2 其他公开核心负责人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2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姓名</w:t>
            </w:r>
          </w:p>
        </w:tc>
        <w:tc>
          <w:tcPr>
            <w:tcW w:type="dxa" w:w="22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公开职务</w:t>
            </w:r>
          </w:p>
        </w:tc>
        <w:tc>
          <w:tcPr>
            <w:tcW w:type="dxa" w:w="3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履历/职责线索</w:t>
            </w:r>
          </w:p>
        </w:tc>
        <w:tc>
          <w:tcPr>
            <w:tcW w:type="dxa" w:w="20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风险提示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吕一飞</w:t>
            </w:r>
          </w:p>
        </w:tc>
        <w:tc>
          <w:tcPr>
            <w:tcW w:type="dxa" w:w="2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联合创始人、CMO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多次代表公司讨论AI眼镜消费市场与品牌策略。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[S07]</w:t>
            </w:r>
          </w:p>
        </w:tc>
        <w:tc>
          <w:tcPr>
            <w:tcW w:type="dxa" w:w="20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需核验劳动/股权关系、渠道KPI与品牌投放效率。</w:t>
            </w:r>
          </w:p>
        </w:tc>
      </w:tr>
      <w:tr>
        <w:trPr>
          <w:cantSplit/>
        </w:trPr>
        <w:tc>
          <w:tcPr>
            <w:tcW w:type="dxa" w:w="1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张星智</w:t>
            </w:r>
          </w:p>
        </w:tc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技术合伙人、政企业务负责人</w:t>
            </w:r>
          </w:p>
        </w:tc>
        <w:tc>
          <w:tcPr>
            <w:tcW w:type="dxa" w:w="3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清华MEM；曾任职SAP、联想、第四范式、腾讯，公开简介称曾负责智能制造架构。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[S08]</w:t>
            </w:r>
          </w:p>
        </w:tc>
        <w:tc>
          <w:tcPr>
            <w:tcW w:type="dxa" w:w="20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政企业务销售周期长，需核验项目验收、回款和定制成本。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印传学</w:t>
            </w:r>
          </w:p>
        </w:tc>
        <w:tc>
          <w:tcPr>
            <w:tcW w:type="dxa" w:w="2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运营体系核心负责人</w:t>
            </w:r>
          </w:p>
        </w:tc>
        <w:tc>
          <w:tcPr>
            <w:tcW w:type="dxa" w:w="3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媒体称“运营副总裁”“运营中心副总裁”，个别报道使用“联合创始人”</w:t>
            </w:r>
          </w:p>
        </w:tc>
        <w:tc>
          <w:tcPr>
            <w:tcW w:type="dxa" w:w="20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职务口径不一致；需用公司组织架构和任命文件统一。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公开信息不足以完整识别CTO、CFO、供应链、质量、法务与数据保护负责人。对硬件公司而言，这些岗位的稳定性和资历与创始人同等重要。</w:t>
      </w:r>
    </w:p>
    <w:p>
      <w:pPr>
        <w:pStyle w:val="Heading2"/>
      </w:pPr>
      <w:r>
        <w:t>5.3 组织能力判断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研发导向：早期采访称研发占比约70%；2025年媒体仍称公司约150人、研发占比高。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[S04]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[S05]</w:t>
      </w:r>
      <w:r>
        <w:rPr>
          <w:rFonts w:ascii="Arial" w:hAnsi="Arial" w:eastAsia="Noto Sans CJK SC"/>
          <w:color w:val="1F1F1F"/>
          <w:sz w:val="21"/>
        </w:rPr>
        <w:t xml:space="preserve"> 参保人数123人与总人数并非同一口径。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跨区域协同：成都承担总部与研发“中枢”，深圳/东莞/中山承接硬件研发、供应链和装配，无锡布局光学模组产线。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[S11]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[S42]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能力缺口：公开资料能看到产品、市场与政企负责人，但未能确认成熟的CFO、全球合规、质量/可靠性和售后体系负责人。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关键人风险：产品路线、融资与政府关系高度围绕杨龙昇；需测试二级管理层能否独立经营。</w:t>
      </w:r>
    </w:p>
    <w:p>
      <w:pPr>
        <w:pStyle w:val="Heading1"/>
      </w:pPr>
      <w:r>
        <w:t>6. 产品、技术与知识产权</w:t>
      </w:r>
    </w:p>
    <w:p>
      <w:pPr>
        <w:pStyle w:val="Heading2"/>
      </w:pPr>
      <w:r>
        <w:t>6.1 产品矩阵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2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产品线</w:t>
            </w:r>
          </w:p>
        </w:tc>
        <w:tc>
          <w:tcPr>
            <w:tcW w:type="dxa" w:w="3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定位与关键参数（公开）</w:t>
            </w:r>
          </w:p>
        </w:tc>
        <w:tc>
          <w:tcPr>
            <w:tcW w:type="dxa" w:w="21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主要场景</w:t>
            </w:r>
          </w:p>
        </w:tc>
        <w:tc>
          <w:tcPr>
            <w:tcW w:type="dxa" w:w="27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商业/技术判断</w:t>
            </w:r>
          </w:p>
        </w:tc>
      </w:tr>
      <w:tr>
        <w:trPr>
          <w:cantSplit/>
        </w:trPr>
        <w:tc>
          <w:tcPr>
            <w:tcW w:type="dxa" w:w="1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AIR3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全彩双目Micro-OLED；1920×1080/眼、36° FOV、62 PPD；骁龙平台；一体式</w:t>
            </w:r>
          </w:p>
        </w:tc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影音、轻办公、应用生态、空间交互</w:t>
            </w:r>
          </w:p>
        </w:tc>
        <w:tc>
          <w:tcPr>
            <w:tcW w:type="dxa" w:w="27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功能完整但功耗、发热、重量、亮度与续航难兼得；高BOM路线。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[S14]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[S37]</w:t>
            </w:r>
          </w:p>
        </w:tc>
      </w:tr>
      <w:tr>
        <w:trPr>
          <w:cantSplit/>
        </w:trPr>
        <w:tc>
          <w:tcPr>
            <w:tcW w:type="dxa" w:w="1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GO2</w:t>
            </w:r>
          </w:p>
        </w:tc>
        <w:tc>
          <w:tcPr>
            <w:tcW w:type="dxa" w:w="3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绿色MicroLED+衍射光波导；轻量显示、翻译/提词</w:t>
            </w:r>
          </w:p>
        </w:tc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会议、出行、演讲、导航提示</w:t>
            </w:r>
          </w:p>
        </w:tc>
        <w:tc>
          <w:tcPr>
            <w:tcW w:type="dxa" w:w="27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供应商JBD确认微显示器；功能聚焦有利于降低功耗。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[S15]</w:t>
            </w:r>
          </w:p>
        </w:tc>
      </w:tr>
      <w:tr>
        <w:trPr>
          <w:cantSplit/>
        </w:trPr>
        <w:tc>
          <w:tcPr>
            <w:tcW w:type="dxa" w:w="1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GO3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53g、640×480绿色显示、W337、双可换270mAh电池；2999元</w:t>
            </w:r>
          </w:p>
        </w:tc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实时翻译、提词、AI问答、海外出行</w:t>
            </w:r>
          </w:p>
        </w:tc>
        <w:tc>
          <w:tcPr>
            <w:tcW w:type="dxa" w:w="27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可换电缓解续航痛点；“261种语言”等需按在线/离线和准确率实测。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[S16]</w:t>
            </w:r>
          </w:p>
        </w:tc>
      </w:tr>
      <w:tr>
        <w:trPr>
          <w:cantSplit/>
        </w:trPr>
        <w:tc>
          <w:tcPr>
            <w:tcW w:type="dxa" w:w="1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X系列</w:t>
            </w:r>
          </w:p>
        </w:tc>
        <w:tc>
          <w:tcPr>
            <w:tcW w:type="dxa" w:w="3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偏拍摄/AI/时尚化，2026年加强品牌联名</w:t>
            </w:r>
          </w:p>
        </w:tc>
        <w:tc>
          <w:tcPr>
            <w:tcW w:type="dxa" w:w="2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记录、社交、时尚、轻AI</w:t>
            </w:r>
          </w:p>
        </w:tc>
        <w:tc>
          <w:tcPr>
            <w:tcW w:type="dxa" w:w="27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进入无/弱显示相机眼镜红海，需靠设计、隐私与生态差异化。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[S41]</w:t>
            </w:r>
          </w:p>
        </w:tc>
      </w:tr>
      <w:tr>
        <w:trPr>
          <w:cantSplit/>
        </w:trPr>
        <w:tc>
          <w:tcPr>
            <w:tcW w:type="dxa" w:w="1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政企定制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软硬件开放平台和场景应用</w:t>
            </w:r>
          </w:p>
        </w:tc>
        <w:tc>
          <w:tcPr>
            <w:tcW w:type="dxa" w:w="2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文旅、政务、教育、交通、赛事</w:t>
            </w:r>
          </w:p>
        </w:tc>
        <w:tc>
          <w:tcPr>
            <w:tcW w:type="dxa" w:w="27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客单和场景价值高，但定制、交付、验收、回款可能侵蚀毛利。</w:t>
            </w:r>
          </w:p>
        </w:tc>
      </w:tr>
    </w:tbl>
    <w:p>
      <w:pPr>
        <w:spacing w:after="0"/>
      </w:pPr>
    </w:p>
    <w:p>
      <w:pPr>
        <w:pStyle w:val="Heading2"/>
      </w:pPr>
      <w:r>
        <w:t>6.2 技术栈与路线取舍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2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层级</w:t>
            </w:r>
          </w:p>
        </w:tc>
        <w:tc>
          <w:tcPr>
            <w:tcW w:type="dxa" w:w="2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影目公开路线/合作</w:t>
            </w:r>
          </w:p>
        </w:tc>
        <w:tc>
          <w:tcPr>
            <w:tcW w:type="dxa" w:w="2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行业瓶颈</w:t>
            </w:r>
          </w:p>
        </w:tc>
        <w:tc>
          <w:tcPr>
            <w:tcW w:type="dxa" w:w="26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护城河判断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微显示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Sony Micro-OLED（AIR3）；JBD MicroLED（GO2）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良率、成本、亮度、全彩MicroLED成熟度</w:t>
            </w:r>
          </w:p>
        </w:tc>
        <w:tc>
          <w:tcPr>
            <w:tcW w:type="dxa" w:w="2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核心器件外购，议价权取决于规模和供货协议。</w:t>
            </w:r>
          </w:p>
        </w:tc>
      </w:tr>
      <w:tr>
        <w:trPr>
          <w:cantSplit/>
        </w:trPr>
        <w:tc>
          <w:tcPr>
            <w:tcW w:type="dxa" w:w="1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光学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全彩显示与衍射光波导双路线；无锡阵列光波导模组线</w:t>
            </w:r>
          </w:p>
        </w:tc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彩虹纹、眼盒、FOV、透过率、量产一致性</w:t>
            </w:r>
          </w:p>
        </w:tc>
        <w:tc>
          <w:tcPr>
            <w:tcW w:type="dxa" w:w="2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自建模组/装配可积累工艺，但设备、良率和专利FTO是关键。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计算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Qualcomm、紫光展锐等平台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功耗、散热、端侧AI算力、成本</w:t>
            </w:r>
          </w:p>
        </w:tc>
        <w:tc>
          <w:tcPr>
            <w:tcW w:type="dxa" w:w="2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平台依赖明显；软件调优与多芯片适配可形成工程壁垒。</w:t>
            </w:r>
          </w:p>
        </w:tc>
      </w:tr>
      <w:tr>
        <w:trPr>
          <w:cantSplit/>
        </w:trPr>
        <w:tc>
          <w:tcPr>
            <w:tcW w:type="dxa" w:w="1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交互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空间戒指、语音、视觉、触控</w:t>
            </w:r>
          </w:p>
        </w:tc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准确性、学习成本、公共场合可用性</w:t>
            </w:r>
          </w:p>
        </w:tc>
        <w:tc>
          <w:tcPr>
            <w:tcW w:type="dxa" w:w="26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体验设计比单一专利更重要，需要留存和任务完成率证明。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OS/生态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安卓应用兼容、腾讯应用宝、AI模型/地图/内容伙伴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小屏适配、权限、生态分成、云成本</w:t>
            </w:r>
          </w:p>
        </w:tc>
        <w:tc>
          <w:tcPr>
            <w:tcW w:type="dxa" w:w="26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伙伴多不等于深度集成；需核验活跃应用和收入贡献。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[S17]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[S18]</w:t>
            </w:r>
          </w:p>
        </w:tc>
      </w:tr>
    </w:tbl>
    <w:p>
      <w:pPr>
        <w:spacing w:after="0"/>
      </w:pPr>
    </w:p>
    <w:p>
      <w:pPr>
        <w:pStyle w:val="Heading2"/>
      </w:pPr>
      <w:r>
        <w:t>6.3 知识产权与FTO</w:t>
      </w:r>
    </w:p>
    <w:p>
      <w:r>
        <w:rPr>
          <w:rFonts w:ascii="Arial" w:hAnsi="Arial" w:eastAsia="Noto Sans CJK SC"/>
          <w:color w:val="1F1F1F"/>
          <w:sz w:val="21"/>
        </w:rPr>
        <w:t>媒体援引商业平台称公司拥有101项专利、76枚商标并有7项对外投资。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[S36]</w:t>
      </w:r>
      <w:r>
        <w:rPr>
          <w:rFonts w:ascii="Arial" w:hAnsi="Arial" w:eastAsia="Noto Sans CJK SC"/>
          <w:color w:val="1F1F1F"/>
          <w:sz w:val="21"/>
        </w:rPr>
        <w:t xml:space="preserve"> 已检索到会议信息交互、智能穿戴信息显示等具体专利申请样本。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[S43]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[S44]</w:t>
      </w:r>
      <w:r>
        <w:rPr>
          <w:rFonts w:ascii="Arial" w:hAnsi="Arial" w:eastAsia="Noto Sans CJK SC"/>
          <w:color w:val="1F1F1F"/>
          <w:sz w:val="21"/>
        </w:rPr>
        <w:t xml:space="preserve"> 但“申请数量”不能替代授权状态、剩余期限、权属链、共同发明、质押许可及自由实施（FTO）判断。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single" w:sz="8" w:space="0" w:color="ED7D31"/>
          <w:insideV w:val="single" w:sz="8" w:space="0" w:color="ED7D31"/>
        </w:tblBorders>
      </w:tblPr>
      <w:tblGrid>
        <w:gridCol w:w="9659"/>
      </w:tblGrid>
      <w:tr>
        <w:tc>
          <w:tcPr>
            <w:tcW w:type="dxa" w:w="9360"/>
            <w:shd w:fill="FCE4D6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ED7D31"/>
                <w:sz w:val="21"/>
              </w:rPr>
              <w:t>知识产权关键结论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USITC 337-TA-1455调查涉及IngenioSpec两项美国专利。USITC于2025年12月基于和解终止对INMO的调查，公开文件未作实体侵权裁决，也未对INMO发布最终排除令。</w:t>
            </w:r>
            <w:r>
              <w:rPr>
                <w:rFonts w:ascii="Arial" w:hAnsi="Arial" w:eastAsia="Noto Sans CJK SC"/>
                <w:b/>
                <w:color w:val="2E74B5"/>
                <w:sz w:val="17"/>
                <w:vertAlign w:val="superscript"/>
              </w:rPr>
              <w:t>[S29]</w:t>
            </w:r>
            <w:r>
              <w:rPr>
                <w:rFonts w:ascii="Arial" w:hAnsi="Arial" w:eastAsia="Noto Sans CJK SC"/>
                <w:b/>
                <w:color w:val="2E74B5"/>
                <w:sz w:val="17"/>
                <w:vertAlign w:val="superscript"/>
              </w:rPr>
              <w:t>[S30]</w:t>
            </w:r>
            <w:r>
              <w:rPr>
                <w:rFonts w:ascii="Arial" w:hAnsi="Arial" w:eastAsia="Noto Sans CJK SC"/>
                <w:color w:val="1F1F1F"/>
                <w:sz w:val="21"/>
              </w:rPr>
              <w:t xml:space="preserve"> 风险并未自动归零：和解是否包含许可费、地域/产品限制、审计权或最惠条款不公开，必须调阅协议及美国律师意见。</w:t>
            </w:r>
          </w:p>
        </w:tc>
      </w:tr>
    </w:tbl>
    <w:p>
      <w:pPr>
        <w:spacing w:after="0"/>
      </w:pP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取得完整IP台账：申请号、授权号、国家/地区、法律状态、年费、发明人、受让链、质押与许可。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追溯酷派拆分时的IP买断协议，确认背景技术、后续改进、竞业和员工职务发明无争议。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[S04]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对AIR、GO、X各平台分别做美国、欧盟、日本、中国FTO，不能以单一和解覆盖所有产品。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核验软件开源组件、第三方模型/地图/内容SDK的许可证和商业使用限制。</w:t>
      </w:r>
    </w:p>
    <w:p>
      <w:pPr>
        <w:pStyle w:val="Heading1"/>
      </w:pPr>
      <w:r>
        <w:t>7. 行业与产业分析</w:t>
      </w:r>
    </w:p>
    <w:p>
      <w:pPr>
        <w:pStyle w:val="Heading2"/>
      </w:pPr>
      <w:r>
        <w:t>7.1 先定义市场：三种“智能眼镜”不是同一赛道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20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类别</w:t>
            </w:r>
          </w:p>
        </w:tc>
        <w:tc>
          <w:tcPr>
            <w:tcW w:type="dxa" w:w="31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典型能力</w:t>
            </w:r>
          </w:p>
        </w:tc>
        <w:tc>
          <w:tcPr>
            <w:tcW w:type="dxa" w:w="2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核心购买理由</w:t>
            </w:r>
          </w:p>
        </w:tc>
        <w:tc>
          <w:tcPr>
            <w:tcW w:type="dxa" w:w="17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竞争逻辑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拍摄/音频AI眼镜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相机、麦克风、音频、云AI；通常无显示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第一视角记录、通话、语音助手、时尚</w:t>
            </w:r>
          </w:p>
        </w:tc>
        <w:tc>
          <w:tcPr>
            <w:tcW w:type="dxa" w:w="1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轻量、品牌、内容生态、隐私设计；Meta系思路。</w:t>
            </w:r>
          </w:p>
        </w:tc>
      </w:tr>
      <w:tr>
        <w:trPr>
          <w:cantSplit/>
        </w:trPr>
        <w:tc>
          <w:tcPr>
            <w:tcW w:type="dxa" w:w="2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信息提示型AR</w:t>
            </w:r>
          </w:p>
        </w:tc>
        <w:tc>
          <w:tcPr>
            <w:tcW w:type="dxa" w:w="31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单色MicroLED+光波导；翻译、提词、导航</w:t>
            </w:r>
          </w:p>
        </w:tc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解放双手、即时信息</w:t>
            </w:r>
          </w:p>
        </w:tc>
        <w:tc>
          <w:tcPr>
            <w:tcW w:type="dxa" w:w="1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重量/续航/户外可读性与任务成功率；GO系列所在。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全彩显示型AR</w:t>
            </w:r>
          </w:p>
        </w:tc>
        <w:tc>
          <w:tcPr>
            <w:tcW w:type="dxa" w:w="31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Micro-OLED/光波导或Birdbath；影音、应用、空间显示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随身大屏、空间计算</w:t>
            </w:r>
          </w:p>
        </w:tc>
        <w:tc>
          <w:tcPr>
            <w:tcW w:type="dxa" w:w="1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FOV、画质、功耗、散热、系统生态；AIR系列所在。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BF9000"/>
          <w:left w:val="single" w:sz="8" w:space="0" w:color="BF9000"/>
          <w:bottom w:val="single" w:sz="8" w:space="0" w:color="BF9000"/>
          <w:right w:val="single" w:sz="8" w:space="0" w:color="BF9000"/>
          <w:insideH w:val="single" w:sz="8" w:space="0" w:color="BF9000"/>
          <w:insideV w:val="single" w:sz="8" w:space="0" w:color="BF9000"/>
        </w:tblBorders>
      </w:tblPr>
      <w:tblGrid>
        <w:gridCol w:w="9659"/>
      </w:tblGrid>
      <w:tr>
        <w:tc>
          <w:tcPr>
            <w:tcW w:type="dxa" w:w="9360"/>
            <w:shd w:fill="FFF2CC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BF9000"/>
                <w:sz w:val="21"/>
              </w:rPr>
              <w:t>口径陷阱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“中国AR眼镜市占率”“中国智能眼镜线上份额”“全球智能眼镜份额”可能对应不同产品、渠道、期间和出货/销额指标。影目被媒体引用的2024年47.6%/39.7%口径，应取得IDC原始表、定义和样本后使用；不能据此推导全球或全品类领导地位。</w:t>
            </w:r>
          </w:p>
        </w:tc>
      </w:tr>
    </w:tbl>
    <w:p>
      <w:pPr>
        <w:spacing w:after="0"/>
      </w:pPr>
    </w:p>
    <w:p>
      <w:pPr>
        <w:pStyle w:val="Heading2"/>
      </w:pPr>
      <w:r>
        <w:t>7.2 市场规模与增长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24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指标</w:t>
            </w:r>
          </w:p>
        </w:tc>
        <w:tc>
          <w:tcPr>
            <w:tcW w:type="dxa" w:w="2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数据</w:t>
            </w:r>
          </w:p>
        </w:tc>
        <w:tc>
          <w:tcPr>
            <w:tcW w:type="dxa" w:w="42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解读</w:t>
            </w:r>
          </w:p>
        </w:tc>
      </w:tr>
      <w:tr>
        <w:trPr>
          <w:cantSplit/>
        </w:trPr>
        <w:tc>
          <w:tcPr>
            <w:tcW w:type="dxa" w:w="24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2025全球智能眼镜出货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1,477.3万台，同比+44.2%</w:t>
            </w:r>
          </w:p>
        </w:tc>
        <w:tc>
          <w:tcPr>
            <w:tcW w:type="dxa" w:w="42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增长快，但大量来自无显示拍摄/音频类产品。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[S22]</w:t>
            </w:r>
          </w:p>
        </w:tc>
      </w:tr>
      <w:tr>
        <w:trPr>
          <w:cantSplit/>
        </w:trPr>
        <w:tc>
          <w:tcPr>
            <w:tcW w:type="dxa" w:w="24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2025中国智能眼镜出货</w:t>
            </w:r>
          </w:p>
        </w:tc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246万台，同比+87.1%</w:t>
            </w:r>
          </w:p>
        </w:tc>
        <w:tc>
          <w:tcPr>
            <w:tcW w:type="dxa" w:w="42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国内新品密集、政策与平台公司入场拉动。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[S22]</w:t>
            </w:r>
          </w:p>
        </w:tc>
      </w:tr>
      <w:tr>
        <w:trPr>
          <w:cantSplit/>
        </w:trPr>
        <w:tc>
          <w:tcPr>
            <w:tcW w:type="dxa" w:w="24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2025中国AR/VR出货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73.4万台，同比+36.5%</w:t>
            </w:r>
          </w:p>
        </w:tc>
        <w:tc>
          <w:tcPr>
            <w:tcW w:type="dxa" w:w="42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显示型细分仍小，口径与“智能眼镜”不同。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[S22]</w:t>
            </w:r>
          </w:p>
        </w:tc>
      </w:tr>
      <w:tr>
        <w:trPr>
          <w:cantSplit/>
        </w:trPr>
        <w:tc>
          <w:tcPr>
            <w:tcW w:type="dxa" w:w="24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全球显示眼镜预测</w:t>
            </w:r>
          </w:p>
        </w:tc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2026年约300万台→2030年1,220万台，CAGR 41.9%</w:t>
            </w:r>
          </w:p>
        </w:tc>
        <w:tc>
          <w:tcPr>
            <w:tcW w:type="dxa" w:w="42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高增长预测仍取决于重量、续航、生态与价格突破。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[S23]</w:t>
            </w:r>
          </w:p>
        </w:tc>
      </w:tr>
    </w:tbl>
    <w:p>
      <w:pPr>
        <w:spacing w:after="0"/>
      </w:pPr>
    </w:p>
    <w:p>
      <w:pPr>
        <w:pStyle w:val="Heading2"/>
      </w:pPr>
      <w:r>
        <w:t>7.3 产业驱动因素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技术成熟：MicroLED亮度、光波导量产、低功耗芯片与端侧模型逐步改善，使“全天候可佩戴”更接近可行。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AI交互：多模态模型把眼镜从显示器升级为“看到、听到、理解并执行”的入口，但推理成本、延迟、幻觉与隐私仍是约束。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平台入场：阿里、手机厂、内容平台和运营商进入，推动渠道与生态，同时提高获客和研发门槛。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[S22]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[S24]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政策支持：五部门行动计划支持近眼显示、交互、内容与文旅/教育/工业应用；“人工智能+”推动智能终端渗透。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[S26]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[S27]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标准加速：GB/Z 177.2-2026已发布，眼镜分册处于标准计划阶段；标准话语权将影响测试、分级和政府采购。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[S28]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[S46]</w:t>
      </w:r>
    </w:p>
    <w:p>
      <w:pPr>
        <w:pStyle w:val="Heading2"/>
      </w:pPr>
      <w:r>
        <w:t>7.4 竞争格局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公司/品牌</w:t>
            </w:r>
          </w:p>
        </w:tc>
        <w:tc>
          <w:tcPr>
            <w:tcW w:type="dxa" w:w="2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主要路线</w:t>
            </w:r>
          </w:p>
        </w:tc>
        <w:tc>
          <w:tcPr>
            <w:tcW w:type="dxa" w:w="2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相对优势</w:t>
            </w:r>
          </w:p>
        </w:tc>
        <w:tc>
          <w:tcPr>
            <w:tcW w:type="dxa" w:w="25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对影目的压力</w:t>
            </w:r>
          </w:p>
        </w:tc>
      </w:tr>
      <w:tr>
        <w:trPr>
          <w:cantSplit/>
        </w:trPr>
        <w:tc>
          <w:tcPr>
            <w:tcW w:type="dxa" w:w="1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雷鸟创新 RayNeo</w:t>
            </w:r>
          </w:p>
        </w:tc>
        <w:tc>
          <w:tcPr>
            <w:tcW w:type="dxa" w:w="2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显示型AR、Birdbath/光波导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TCL产业与显示资源、线上份额、产品迭代</w:t>
            </w:r>
          </w:p>
        </w:tc>
        <w:tc>
          <w:tcPr>
            <w:tcW w:type="dxa" w:w="25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全彩显示和规模竞争。</w:t>
            </w:r>
          </w:p>
        </w:tc>
      </w:tr>
      <w:tr>
        <w:trPr>
          <w:cantSplit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XREAL</w:t>
            </w:r>
          </w:p>
        </w:tc>
        <w:tc>
          <w:tcPr>
            <w:tcW w:type="dxa" w:w="2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消费级显示型AR与空间计算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全球渠道、品牌、开发者与光学积累</w:t>
            </w:r>
          </w:p>
        </w:tc>
        <w:tc>
          <w:tcPr>
            <w:tcW w:type="dxa" w:w="2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海外市场和高端用户争夺。</w:t>
            </w:r>
          </w:p>
        </w:tc>
      </w:tr>
      <w:tr>
        <w:trPr>
          <w:cantSplit/>
        </w:trPr>
        <w:tc>
          <w:tcPr>
            <w:tcW w:type="dxa" w:w="1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Rokid</w:t>
            </w:r>
          </w:p>
        </w:tc>
        <w:tc>
          <w:tcPr>
            <w:tcW w:type="dxa" w:w="2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一体式AR、AI眼镜、政企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软硬件平台、空间计算与B端场景</w:t>
            </w:r>
          </w:p>
        </w:tc>
        <w:tc>
          <w:tcPr>
            <w:tcW w:type="dxa" w:w="25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与GO/AIR及政企线高度重叠。</w:t>
            </w:r>
          </w:p>
        </w:tc>
      </w:tr>
      <w:tr>
        <w:trPr>
          <w:cantSplit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阿里夸克</w:t>
            </w:r>
          </w:p>
        </w:tc>
        <w:tc>
          <w:tcPr>
            <w:tcW w:type="dxa" w:w="2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AI眼镜+大模型/内容/支付生态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超级App、模型、渠道和补贴能力</w:t>
            </w:r>
          </w:p>
        </w:tc>
        <w:tc>
          <w:tcPr>
            <w:tcW w:type="dxa" w:w="2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生态与获客成本压力。</w:t>
            </w:r>
          </w:p>
        </w:tc>
      </w:tr>
      <w:tr>
        <w:trPr>
          <w:cantSplit/>
        </w:trPr>
        <w:tc>
          <w:tcPr>
            <w:tcW w:type="dxa" w:w="1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星纪魅族/手机厂</w:t>
            </w:r>
          </w:p>
        </w:tc>
        <w:tc>
          <w:tcPr>
            <w:tcW w:type="dxa" w:w="2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手机协同、AI终端生态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存量用户、供应链、线下店</w:t>
            </w:r>
          </w:p>
        </w:tc>
        <w:tc>
          <w:tcPr>
            <w:tcW w:type="dxa" w:w="25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跨设备体验和规模采购优势。</w:t>
            </w:r>
          </w:p>
        </w:tc>
      </w:tr>
      <w:tr>
        <w:trPr>
          <w:cantSplit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影目 INMO</w:t>
            </w:r>
          </w:p>
        </w:tc>
        <w:tc>
          <w:tcPr>
            <w:tcW w:type="dxa" w:w="2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AIR全彩+GO轻量+X时尚/拍摄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一体式先发、产品覆盖、创业决策速度</w:t>
            </w:r>
          </w:p>
        </w:tc>
        <w:tc>
          <w:tcPr>
            <w:tcW w:type="dxa" w:w="25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资源更小，需用细分体验、成本与场景效率取胜。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IDC 2025中国AR/VR品牌前五包括雷鸟、XREAL、Rokid、INMO和阿里；具体排序和份额随季度、渠道及品类变化。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[S22]</w:t>
      </w:r>
    </w:p>
    <w:p>
      <w:pPr>
        <w:pStyle w:val="Heading2"/>
      </w:pPr>
      <w:r>
        <w:t>7.5 行业结构与利润池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环节</w:t>
            </w:r>
          </w:p>
        </w:tc>
        <w:tc>
          <w:tcPr>
            <w:tcW w:type="dxa" w:w="2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价值/成本来源</w:t>
            </w:r>
          </w:p>
        </w:tc>
        <w:tc>
          <w:tcPr>
            <w:tcW w:type="dxa" w:w="30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行业特征</w:t>
            </w:r>
          </w:p>
        </w:tc>
        <w:tc>
          <w:tcPr>
            <w:tcW w:type="dxa" w:w="23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影目位置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核心器件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微显示、光学、SoC、传感器、电池</w:t>
            </w:r>
          </w:p>
        </w:tc>
        <w:tc>
          <w:tcPr>
            <w:tcW w:type="dxa" w:w="3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高技术、高集中度、供应波动与良率影响大</w:t>
            </w:r>
          </w:p>
        </w:tc>
        <w:tc>
          <w:tcPr>
            <w:tcW w:type="dxa" w:w="2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部分外购；无锡向光学模组纵向延伸。</w:t>
            </w:r>
          </w:p>
        </w:tc>
      </w:tr>
      <w:tr>
        <w:trPr>
          <w:cantSplit/>
        </w:trPr>
        <w:tc>
          <w:tcPr>
            <w:tcW w:type="dxa" w:w="1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整机研发</w:t>
            </w:r>
          </w:p>
        </w:tc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结构、散热、功耗、射频、可靠性、系统</w:t>
            </w:r>
          </w:p>
        </w:tc>
        <w:tc>
          <w:tcPr>
            <w:tcW w:type="dxa" w:w="3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强工程整合，产品迭代快、库存贬值快</w:t>
            </w:r>
          </w:p>
        </w:tc>
        <w:tc>
          <w:tcPr>
            <w:tcW w:type="dxa" w:w="2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核心能力所在。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AI/软件生态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模型、翻译、地图、内容、应用分发</w:t>
            </w:r>
          </w:p>
        </w:tc>
        <w:tc>
          <w:tcPr>
            <w:tcW w:type="dxa" w:w="3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可形成订阅与网络效应，但云成本和伙伴依赖高</w:t>
            </w:r>
          </w:p>
        </w:tc>
        <w:tc>
          <w:tcPr>
            <w:tcW w:type="dxa" w:w="2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合作伙伴广，直接收入尚未披露。</w:t>
            </w:r>
          </w:p>
        </w:tc>
      </w:tr>
      <w:tr>
        <w:trPr>
          <w:cantSplit/>
        </w:trPr>
        <w:tc>
          <w:tcPr>
            <w:tcW w:type="dxa" w:w="1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渠道与服务</w:t>
            </w:r>
          </w:p>
        </w:tc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电商、眼镜零售、运营商、售后</w:t>
            </w:r>
          </w:p>
        </w:tc>
        <w:tc>
          <w:tcPr>
            <w:tcW w:type="dxa" w:w="3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试戴教育、退换货、配镜与维修成本高</w:t>
            </w:r>
          </w:p>
        </w:tc>
        <w:tc>
          <w:tcPr>
            <w:tcW w:type="dxa" w:w="2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线下扩张处于验证期。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行业解决方案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文旅、赛事、政务、工业</w:t>
            </w:r>
          </w:p>
        </w:tc>
        <w:tc>
          <w:tcPr>
            <w:tcW w:type="dxa" w:w="3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客单高、项目制、定制和回款周期长</w:t>
            </w:r>
          </w:p>
        </w:tc>
        <w:tc>
          <w:tcPr>
            <w:tcW w:type="dxa" w:w="2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已有示范场景，需验证复制率。</w:t>
            </w:r>
          </w:p>
        </w:tc>
      </w:tr>
    </w:tbl>
    <w:p>
      <w:pPr>
        <w:spacing w:after="0"/>
      </w:pPr>
    </w:p>
    <w:p>
      <w:pPr>
        <w:pStyle w:val="Heading1"/>
      </w:pPr>
      <w:r>
        <w:t>8. 上下游与产业链关系</w:t>
      </w:r>
    </w:p>
    <w:p>
      <w:pPr>
        <w:pStyle w:val="Heading2"/>
      </w:pPr>
      <w:r>
        <w:t>8.1 产业链全景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25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上游输入</w:t>
            </w:r>
          </w:p>
        </w:tc>
        <w:tc>
          <w:tcPr>
            <w:tcW w:type="dxa" w:w="2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影目核心活动</w:t>
            </w:r>
          </w:p>
        </w:tc>
        <w:tc>
          <w:tcPr>
            <w:tcW w:type="dxa" w:w="2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下游渠道/客户</w:t>
            </w:r>
          </w:p>
        </w:tc>
        <w:tc>
          <w:tcPr>
            <w:tcW w:type="dxa" w:w="14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价值回流</w:t>
            </w:r>
          </w:p>
        </w:tc>
      </w:tr>
      <w:tr>
        <w:trPr>
          <w:cantSplit/>
        </w:trPr>
        <w:tc>
          <w:tcPr>
            <w:tcW w:type="dxa" w:w="2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微显示：Sony、JBD；芯片：Qualcomm、紫光展锐；光学材料/结构/电池/传感器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产品定义→光学/硬件/结构→系统与算法→供应链/装配→品牌运营→售后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京东等电商；LOHO等眼镜零售；运营商；文旅/赛事/政企；海外站与日本运营</w:t>
            </w:r>
          </w:p>
        </w:tc>
        <w:tc>
          <w:tcPr>
            <w:tcW w:type="dxa" w:w="14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硬件收入为主；潜在配件、订阅、解决方案、生态分成；公开拆分未知</w:t>
            </w:r>
          </w:p>
        </w:tc>
      </w:tr>
    </w:tbl>
    <w:p>
      <w:pPr>
        <w:spacing w:after="0"/>
      </w:pPr>
    </w:p>
    <w:p>
      <w:pPr>
        <w:pStyle w:val="Heading2"/>
      </w:pPr>
      <w:r>
        <w:t>8.2 已确认或高可信上游关系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合作方</w:t>
            </w:r>
          </w:p>
        </w:tc>
        <w:tc>
          <w:tcPr>
            <w:tcW w:type="dxa" w:w="1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环节</w:t>
            </w:r>
          </w:p>
        </w:tc>
        <w:tc>
          <w:tcPr>
            <w:tcW w:type="dxa" w:w="3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公开证据</w:t>
            </w:r>
          </w:p>
        </w:tc>
        <w:tc>
          <w:tcPr>
            <w:tcW w:type="dxa" w:w="2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依赖与核验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上海显耀/JBD</w:t>
            </w:r>
          </w:p>
        </w:tc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MicroLED微显示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供应商官网明确GO2使用蜂鸟Mini II。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[S15]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采购金额、独供/双供、价格阶梯、良率、交期和替代周期。</w:t>
            </w:r>
          </w:p>
        </w:tc>
      </w:tr>
      <w:tr>
        <w:trPr>
          <w:cantSplit/>
        </w:trPr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Sony</w:t>
            </w:r>
          </w:p>
        </w:tc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Micro-OLED</w:t>
            </w:r>
          </w:p>
        </w:tc>
        <w:tc>
          <w:tcPr>
            <w:tcW w:type="dxa" w:w="3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研究报告与产品资料指向AIR3 0.44英寸Micro-OLED。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[S14]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型号/供货主体、出口管制、汇率和采购集中度。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Qualcomm</w:t>
            </w:r>
          </w:p>
        </w:tc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XR/计算平台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AIR3公开参数使用骁龙平台。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[S14]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授权费、生命周期、最低采购、软件支持。</w:t>
            </w:r>
          </w:p>
        </w:tc>
      </w:tr>
      <w:tr>
        <w:trPr>
          <w:cantSplit/>
        </w:trPr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紫光展锐</w:t>
            </w:r>
          </w:p>
        </w:tc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可穿戴SoC</w:t>
            </w:r>
          </w:p>
        </w:tc>
        <w:tc>
          <w:tcPr>
            <w:tcW w:type="dxa" w:w="3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GO3公开参数为W337，其他X系列曾披露展锐平台。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[S16]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算力/功耗、AI能力、供应持续性。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无锡影目显示</w:t>
            </w:r>
          </w:p>
        </w:tc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阵列光波导模组与组装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四川影目51%、空天科技49%；注册资本3000万元；首线年产10万副。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[S11]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[S39]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良率、产能利用、转移定价、设备权属、客户范围和少数股东权利。</w:t>
            </w:r>
          </w:p>
        </w:tc>
      </w:tr>
    </w:tbl>
    <w:p>
      <w:pPr>
        <w:spacing w:after="0"/>
      </w:pPr>
    </w:p>
    <w:p>
      <w:pPr>
        <w:pStyle w:val="SourceNote"/>
        <w:ind w:left="173" w:right="173"/>
      </w:pPr>
      <w:r>
        <w:rPr>
          <w:rFonts w:ascii="Arial" w:hAnsi="Arial" w:eastAsia="Noto Sans CJK SC"/>
          <w:b/>
          <w:color w:val="666666"/>
          <w:sz w:val="17"/>
        </w:rPr>
        <w:t>证据说明：</w:t>
      </w:r>
      <w:r>
        <w:rPr>
          <w:rFonts w:ascii="Arial" w:hAnsi="Arial" w:eastAsia="Noto Sans CJK SC"/>
          <w:color w:val="1F1F1F"/>
          <w:sz w:val="21"/>
        </w:rPr>
        <w:t>“产品采用某芯片/屏幕”不必然等同与品牌原厂直接采购，可能通过方案商或代工厂采购；合同链条必须穿透。</w:t>
      </w:r>
    </w:p>
    <w:p>
      <w:pPr>
        <w:pStyle w:val="Heading2"/>
      </w:pPr>
      <w:r>
        <w:t>8.3 生态、渠道与场景伙伴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2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类别</w:t>
            </w:r>
          </w:p>
        </w:tc>
        <w:tc>
          <w:tcPr>
            <w:tcW w:type="dxa" w:w="2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公开伙伴/案例</w:t>
            </w:r>
          </w:p>
        </w:tc>
        <w:tc>
          <w:tcPr>
            <w:tcW w:type="dxa" w:w="2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关系性质</w:t>
            </w:r>
          </w:p>
        </w:tc>
        <w:tc>
          <w:tcPr>
            <w:tcW w:type="dxa" w:w="2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尽调关注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应用/AI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腾讯应用宝、高德、智谱AI、中国移动九天、蚂蚁、芒果等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适配、内容、模型或联合场景；不等同付费客户。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[S17]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[S18]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API成本、独家性、数据流向、收入分成、SLA、停服替代。</w:t>
            </w:r>
          </w:p>
        </w:tc>
      </w:tr>
      <w:tr>
        <w:trPr>
          <w:cantSplit/>
        </w:trPr>
        <w:tc>
          <w:tcPr>
            <w:tcW w:type="dxa" w:w="1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线下渠道</w:t>
            </w:r>
          </w:p>
        </w:tc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LOHO、依视路陆逊梯卡、亚洲眼镜等公开合作口径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试戴、销售、配镜或渠道拓展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已开店数、单店动销、退货、账期、库存归属；媒体称铺设不完全。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[S35]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赛事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成都世运会翻译眼镜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示范/服务场景。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[S19]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采购/借用/赞助性质、数量、验收和后续复购。</w:t>
            </w:r>
          </w:p>
        </w:tc>
      </w:tr>
      <w:tr>
        <w:trPr>
          <w:cantSplit/>
        </w:trPr>
        <w:tc>
          <w:tcPr>
            <w:tcW w:type="dxa" w:w="1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文旅</w:t>
            </w:r>
          </w:p>
        </w:tc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成都熊猫基地、洛阳文旅“一镜游洛阳”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导览与AI讲解。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[S20]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[S21]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项目收入、游客付费、设备损耗、内容更新和复制成本。</w:t>
            </w:r>
          </w:p>
        </w:tc>
      </w:tr>
      <w:tr>
        <w:trPr>
          <w:cantSplit/>
        </w:trPr>
        <w:tc>
          <w:tcPr>
            <w:tcW w:type="dxa" w:w="1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政企</w:t>
            </w:r>
          </w:p>
        </w:tc>
        <w:tc>
          <w:tcPr>
            <w:tcW w:type="dxa" w:w="2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交通、公安、教育等媒体披露试点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B2B/B2G解决方案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招投标、合规、应收账款、定制开发资本化。</w:t>
            </w:r>
          </w:p>
        </w:tc>
      </w:tr>
      <w:tr>
        <w:trPr>
          <w:cantSplit/>
        </w:trPr>
        <w:tc>
          <w:tcPr>
            <w:tcW w:type="dxa" w:w="1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海外</w:t>
            </w:r>
          </w:p>
        </w:tc>
        <w:tc>
          <w:tcPr>
            <w:tcW w:type="dxa" w:w="2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全球官网、众筹/电商、日本品牌运营主体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DTC、经销或本地服务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主体权属、进口商责任、税务、保修、数据出境、交付退款。</w:t>
            </w:r>
          </w:p>
        </w:tc>
      </w:tr>
    </w:tbl>
    <w:p>
      <w:pPr>
        <w:spacing w:after="0"/>
      </w:pPr>
    </w:p>
    <w:p>
      <w:pPr>
        <w:pStyle w:val="Heading2"/>
      </w:pPr>
      <w:r>
        <w:t>8.4 供应链韧性评价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BF9000"/>
          <w:left w:val="single" w:sz="8" w:space="0" w:color="BF9000"/>
          <w:bottom w:val="single" w:sz="8" w:space="0" w:color="BF9000"/>
          <w:right w:val="single" w:sz="8" w:space="0" w:color="BF9000"/>
          <w:insideH w:val="single" w:sz="8" w:space="0" w:color="BF9000"/>
          <w:insideV w:val="single" w:sz="8" w:space="0" w:color="BF9000"/>
        </w:tblBorders>
      </w:tblPr>
      <w:tblGrid>
        <w:gridCol w:w="9659"/>
      </w:tblGrid>
      <w:tr>
        <w:tc>
          <w:tcPr>
            <w:tcW w:type="dxa" w:w="9360"/>
            <w:shd w:fill="FFF2CC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BF9000"/>
                <w:sz w:val="21"/>
              </w:rPr>
              <w:t>中等偏弱，正在补强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优势在于成渝研发、珠三角供应链和无锡光学产线形成三地协同；弱点是微显示、SoC等关键器件仍受外部供应商、汇率和技术生命周期影响。对单一型号的停产、价格上调或良率下降，可能迅速传导到交付和毛利。</w:t>
            </w:r>
          </w:p>
        </w:tc>
      </w:tr>
    </w:tbl>
    <w:p>
      <w:pPr>
        <w:spacing w:after="0"/>
      </w:pP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要求提供前十大供应商三年采购额、账期、关联关系、合同期限和替代方案。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按关键物料建立“单供—双供—可替代”矩阵，并以工程验证而非供应商名单判断可替代性。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核验无锡产线设计产能、实际产量、一次良率、返工率、设备稼动率和单位模组成本。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抽查BOM、标准成本、采购发票和成品序列号，验证产品销量与物料消耗闭环。</w:t>
      </w:r>
    </w:p>
    <w:p>
      <w:pPr>
        <w:pStyle w:val="Heading1"/>
      </w:pPr>
      <w:r>
        <w:t>9. 关联企业与集团边界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23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主体/关系</w:t>
            </w:r>
          </w:p>
        </w:tc>
        <w:tc>
          <w:tcPr>
            <w:tcW w:type="dxa" w:w="25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公开状态</w:t>
            </w:r>
          </w:p>
        </w:tc>
        <w:tc>
          <w:tcPr>
            <w:tcW w:type="dxa" w:w="22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纳入关联方判断</w:t>
            </w:r>
          </w:p>
        </w:tc>
        <w:tc>
          <w:tcPr>
            <w:tcW w:type="dxa" w:w="22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待核验</w:t>
            </w:r>
          </w:p>
        </w:tc>
      </w:tr>
      <w:tr>
        <w:trPr>
          <w:cantSplit/>
        </w:trPr>
        <w:tc>
          <w:tcPr>
            <w:tcW w:type="dxa" w:w="23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四川影目科技有限公司</w:t>
            </w:r>
          </w:p>
        </w:tc>
        <w:tc>
          <w:tcPr>
            <w:tcW w:type="dxa" w:w="2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成都总部与核心经营主体</w:t>
            </w:r>
          </w:p>
        </w:tc>
        <w:tc>
          <w:tcPr>
            <w:tcW w:type="dxa" w:w="2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母体/被投主体</w:t>
            </w:r>
          </w:p>
        </w:tc>
        <w:tc>
          <w:tcPr>
            <w:tcW w:type="dxa" w:w="22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最新工商内档、全部分支、银行与税务账户。</w:t>
            </w:r>
          </w:p>
        </w:tc>
      </w:tr>
      <w:tr>
        <w:trPr>
          <w:cantSplit/>
        </w:trPr>
        <w:tc>
          <w:tcPr>
            <w:tcW w:type="dxa" w:w="23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四川影目科技有限公司深圳分公司</w:t>
            </w:r>
          </w:p>
        </w:tc>
        <w:tc>
          <w:tcPr>
            <w:tcW w:type="dxa" w:w="2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公开招聘/报道显示承担硬件研发、供应链等职能</w:t>
            </w:r>
          </w:p>
        </w:tc>
        <w:tc>
          <w:tcPr>
            <w:tcW w:type="dxa" w:w="2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分公司，法律责任归总公司</w:t>
            </w:r>
          </w:p>
        </w:tc>
        <w:tc>
          <w:tcPr>
            <w:tcW w:type="dxa" w:w="22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设立登记、人员与资产、成本分摊、社保税务。</w:t>
            </w:r>
          </w:p>
        </w:tc>
      </w:tr>
      <w:tr>
        <w:trPr>
          <w:cantSplit/>
        </w:trPr>
        <w:tc>
          <w:tcPr>
            <w:tcW w:type="dxa" w:w="23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无锡市影目显示科技有限公司</w:t>
            </w:r>
          </w:p>
        </w:tc>
        <w:tc>
          <w:tcPr>
            <w:tcW w:type="dxa" w:w="2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2025-09成立；四川影目51%、无锡空天科技49%；杨龙昇任法定代表人</w:t>
            </w:r>
          </w:p>
        </w:tc>
        <w:tc>
          <w:tcPr>
            <w:tcW w:type="dxa" w:w="2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控股合资企业（按公开比例）</w:t>
            </w:r>
          </w:p>
        </w:tc>
        <w:tc>
          <w:tcPr>
            <w:tcW w:type="dxa" w:w="22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章程、股东协议、董事会、少数股东保护、关联采购与产能包销。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[S11]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[S39]</w:t>
            </w:r>
          </w:p>
        </w:tc>
      </w:tr>
      <w:tr>
        <w:trPr>
          <w:cantSplit/>
        </w:trPr>
        <w:tc>
          <w:tcPr>
            <w:tcW w:type="dxa" w:w="23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イノモ日本株式会社</w:t>
            </w:r>
          </w:p>
        </w:tc>
        <w:tc>
          <w:tcPr>
            <w:tcW w:type="dxa" w:w="2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2026年设立并开展INMO日本销售/品牌支持线索</w:t>
            </w:r>
          </w:p>
        </w:tc>
        <w:tc>
          <w:tcPr>
            <w:tcW w:type="dxa" w:w="2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品牌相关运营主体；股权未独立证实</w:t>
            </w:r>
          </w:p>
        </w:tc>
        <w:tc>
          <w:tcPr>
            <w:tcW w:type="dxa" w:w="22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股东名册、经销/许可协议、转移定价、消费者责任。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[S13]</w:t>
            </w:r>
          </w:p>
        </w:tc>
      </w:tr>
      <w:tr>
        <w:trPr>
          <w:cantSplit/>
        </w:trPr>
        <w:tc>
          <w:tcPr>
            <w:tcW w:type="dxa" w:w="23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宁波影目企业管理合伙企业</w:t>
            </w:r>
          </w:p>
        </w:tc>
        <w:tc>
          <w:tcPr>
            <w:tcW w:type="dxa" w:w="2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四川影目股东</w:t>
            </w:r>
          </w:p>
        </w:tc>
        <w:tc>
          <w:tcPr>
            <w:tcW w:type="dxa" w:w="2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潜在员工/创始人持股平台（推断）</w:t>
            </w:r>
          </w:p>
        </w:tc>
        <w:tc>
          <w:tcPr>
            <w:tcW w:type="dxa" w:w="22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GP/LP和最终受益人、员工授予、表决权。</w:t>
            </w:r>
          </w:p>
        </w:tc>
      </w:tr>
      <w:tr>
        <w:trPr>
          <w:cantSplit/>
        </w:trPr>
        <w:tc>
          <w:tcPr>
            <w:tcW w:type="dxa" w:w="23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酷派及原相关主体</w:t>
            </w:r>
          </w:p>
        </w:tc>
        <w:tc>
          <w:tcPr>
            <w:tcW w:type="dxa" w:w="2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历史业务来源；早期采访称拆分后无股权/人员关系并买断IP</w:t>
            </w:r>
          </w:p>
        </w:tc>
        <w:tc>
          <w:tcPr>
            <w:tcW w:type="dxa" w:w="22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历史关联而非现时关联（依公开口径）</w:t>
            </w:r>
          </w:p>
        </w:tc>
        <w:tc>
          <w:tcPr>
            <w:tcW w:type="dxa" w:w="22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资产/IP转让、竞业、尾部债权债务和人员发明。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[S04]</w:t>
            </w:r>
          </w:p>
        </w:tc>
      </w:tr>
      <w:tr>
        <w:trPr>
          <w:cantSplit/>
        </w:trPr>
        <w:tc>
          <w:tcPr>
            <w:tcW w:type="dxa" w:w="23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多地产业基金/项目公司</w:t>
            </w:r>
          </w:p>
        </w:tc>
        <w:tc>
          <w:tcPr>
            <w:tcW w:type="dxa" w:w="2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股东、投资人或场景方</w:t>
            </w:r>
          </w:p>
        </w:tc>
        <w:tc>
          <w:tcPr>
            <w:tcW w:type="dxa" w:w="22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是否构成会计/法律关联需按控制与重大影响判断</w:t>
            </w:r>
          </w:p>
        </w:tc>
        <w:tc>
          <w:tcPr>
            <w:tcW w:type="dxa" w:w="22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董事席位、回购、政府补助、产值承诺、关联交易。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single" w:sz="8" w:space="0" w:color="ED7D31"/>
          <w:insideV w:val="single" w:sz="8" w:space="0" w:color="ED7D31"/>
        </w:tblBorders>
      </w:tblPr>
      <w:tblGrid>
        <w:gridCol w:w="9659"/>
      </w:tblGrid>
      <w:tr>
        <w:tc>
          <w:tcPr>
            <w:tcW w:type="dxa" w:w="9360"/>
            <w:shd w:fill="FCE4D6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ED7D31"/>
                <w:sz w:val="21"/>
              </w:rPr>
              <w:t>集团边界缺口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媒体援引商业平台称四川影目存在7项对外投资，但公开免费信息无法完整确认全部主体。</w:t>
            </w:r>
            <w:r>
              <w:rPr>
                <w:rFonts w:ascii="Arial" w:hAnsi="Arial" w:eastAsia="Noto Sans CJK SC"/>
                <w:b/>
                <w:color w:val="2E74B5"/>
                <w:sz w:val="17"/>
                <w:vertAlign w:val="superscript"/>
              </w:rPr>
              <w:t>[S36]</w:t>
            </w:r>
            <w:r>
              <w:rPr>
                <w:rFonts w:ascii="Arial" w:hAnsi="Arial" w:eastAsia="Noto Sans CJK SC"/>
                <w:color w:val="1F1F1F"/>
                <w:sz w:val="21"/>
              </w:rPr>
              <w:t xml:space="preserve"> 交易前必须取得加盖公章的集团结构图和境内外实体清单，并与银行账户、纳税主体、知识产权权利人和员工合同主体交叉核对。</w:t>
            </w:r>
          </w:p>
        </w:tc>
      </w:tr>
    </w:tbl>
    <w:p>
      <w:pPr>
        <w:spacing w:after="0"/>
      </w:pPr>
    </w:p>
    <w:p>
      <w:pPr>
        <w:pStyle w:val="Heading1"/>
      </w:pPr>
      <w:r>
        <w:t>10. 商业模式、渠道与经营质量</w:t>
      </w:r>
    </w:p>
    <w:p>
      <w:pPr>
        <w:pStyle w:val="Heading2"/>
      </w:pPr>
      <w:r>
        <w:t>10.1 收入引擎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引擎</w:t>
            </w:r>
          </w:p>
        </w:tc>
        <w:tc>
          <w:tcPr>
            <w:tcW w:type="dxa" w:w="2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收入形态</w:t>
            </w:r>
          </w:p>
        </w:tc>
        <w:tc>
          <w:tcPr>
            <w:tcW w:type="dxa" w:w="2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增长逻辑</w:t>
            </w:r>
          </w:p>
        </w:tc>
        <w:tc>
          <w:tcPr>
            <w:tcW w:type="dxa" w:w="27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主要风险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B2C硬件</w:t>
            </w:r>
          </w:p>
        </w:tc>
        <w:tc>
          <w:tcPr>
            <w:tcW w:type="dxa" w:w="2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AIR/GO/X整机与配件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新品迭代、线上销售、线下试戴、海外DTC</w:t>
            </w:r>
          </w:p>
        </w:tc>
        <w:tc>
          <w:tcPr>
            <w:tcW w:type="dxa" w:w="2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低频购买、促销、退货、保修、库存跌价。</w:t>
            </w:r>
          </w:p>
        </w:tc>
      </w:tr>
      <w:tr>
        <w:trPr>
          <w:cantSplit/>
        </w:trPr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软件/订阅</w:t>
            </w:r>
          </w:p>
        </w:tc>
        <w:tc>
          <w:tcPr>
            <w:tcW w:type="dxa" w:w="2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翻译、AI、内容或云服务的潜在订阅</w:t>
            </w:r>
          </w:p>
        </w:tc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提高ARPU与留存</w:t>
            </w:r>
          </w:p>
        </w:tc>
        <w:tc>
          <w:tcPr>
            <w:tcW w:type="dxa" w:w="2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公开收入占比未知；模型/内容成本可能高。</w:t>
            </w:r>
          </w:p>
        </w:tc>
      </w:tr>
      <w:tr>
        <w:trPr>
          <w:cantSplit/>
        </w:trPr>
        <w:tc>
          <w:tcPr>
            <w:tcW w:type="dxa" w:w="1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B2B/B2G</w:t>
            </w:r>
          </w:p>
        </w:tc>
        <w:tc>
          <w:tcPr>
            <w:tcW w:type="dxa" w:w="2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设备+定制软件+项目服务</w:t>
            </w:r>
          </w:p>
        </w:tc>
        <w:tc>
          <w:tcPr>
            <w:tcW w:type="dxa" w:w="2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文旅、赛事、政务、教育复制</w:t>
            </w:r>
          </w:p>
        </w:tc>
        <w:tc>
          <w:tcPr>
            <w:tcW w:type="dxa" w:w="2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定制侵蚀毛利、验收周期、应收账款。</w:t>
            </w:r>
          </w:p>
        </w:tc>
      </w:tr>
      <w:tr>
        <w:trPr>
          <w:cantSplit/>
        </w:trPr>
        <w:tc>
          <w:tcPr>
            <w:tcW w:type="dxa" w:w="1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生态/渠道</w:t>
            </w:r>
          </w:p>
        </w:tc>
        <w:tc>
          <w:tcPr>
            <w:tcW w:type="dxa" w:w="2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联运、分成、品牌合作</w:t>
            </w:r>
          </w:p>
        </w:tc>
        <w:tc>
          <w:tcPr>
            <w:tcW w:type="dxa" w:w="2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借助平台流量与内容</w:t>
            </w:r>
          </w:p>
        </w:tc>
        <w:tc>
          <w:tcPr>
            <w:tcW w:type="dxa" w:w="2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伙伴掌握入口与议价权。</w:t>
            </w:r>
          </w:p>
        </w:tc>
      </w:tr>
    </w:tbl>
    <w:p>
      <w:pPr>
        <w:spacing w:after="0"/>
      </w:pPr>
    </w:p>
    <w:p>
      <w:pPr>
        <w:pStyle w:val="Heading2"/>
      </w:pPr>
      <w:r>
        <w:t>10.2 公开经营口径及其可验证性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23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公开说法</w:t>
            </w:r>
          </w:p>
        </w:tc>
        <w:tc>
          <w:tcPr>
            <w:tcW w:type="dxa" w:w="20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来源性质</w:t>
            </w:r>
          </w:p>
        </w:tc>
        <w:tc>
          <w:tcPr>
            <w:tcW w:type="dxa" w:w="25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不能回答的问题</w:t>
            </w:r>
          </w:p>
        </w:tc>
        <w:tc>
          <w:tcPr>
            <w:tcW w:type="dxa" w:w="24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验证方法</w:t>
            </w:r>
          </w:p>
        </w:tc>
      </w:tr>
      <w:tr>
        <w:trPr>
          <w:cantSplit/>
        </w:trPr>
        <w:tc>
          <w:tcPr>
            <w:tcW w:type="dxa" w:w="23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2025年营收约2亿元、盈亏平衡</w:t>
            </w:r>
          </w:p>
        </w:tc>
        <w:tc>
          <w:tcPr>
            <w:tcW w:type="dxa" w:w="20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管理层接受媒体采访。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  <w:tc>
          <w:tcPr>
            <w:tcW w:type="dxa" w:w="2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收入确认、毛利、政府补助、股份支付、现金流</w:t>
            </w:r>
          </w:p>
        </w:tc>
        <w:tc>
          <w:tcPr>
            <w:tcW w:type="dxa" w:w="24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审计报表+增值税申报+银行回款+序列号激活。</w:t>
            </w:r>
          </w:p>
        </w:tc>
      </w:tr>
      <w:tr>
        <w:trPr>
          <w:cantSplit/>
        </w:trPr>
        <w:tc>
          <w:tcPr>
            <w:tcW w:type="dxa" w:w="23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年销量超过10万副、积压订单约2万副</w:t>
            </w:r>
          </w:p>
        </w:tc>
        <w:tc>
          <w:tcPr>
            <w:tcW w:type="dxa" w:w="20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管理层/媒体口径。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  <w:tc>
          <w:tcPr>
            <w:tcW w:type="dxa" w:w="2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Sell-in还是Sell-through；取消、退货、赠机</w:t>
            </w:r>
          </w:p>
        </w:tc>
        <w:tc>
          <w:tcPr>
            <w:tcW w:type="dxa" w:w="24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订单—出库—激活—回款—退货五表勾稽。</w:t>
            </w:r>
          </w:p>
        </w:tc>
      </w:tr>
      <w:tr>
        <w:trPr>
          <w:cantSplit/>
        </w:trPr>
        <w:tc>
          <w:tcPr>
            <w:tcW w:type="dxa" w:w="23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研发人员约70%</w:t>
            </w:r>
          </w:p>
        </w:tc>
        <w:tc>
          <w:tcPr>
            <w:tcW w:type="dxa" w:w="20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多期采访口径。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[S04]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[S05]</w:t>
            </w:r>
          </w:p>
        </w:tc>
        <w:tc>
          <w:tcPr>
            <w:tcW w:type="dxa" w:w="25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研发资本化、外包、人员归属和实际工时</w:t>
            </w:r>
          </w:p>
        </w:tc>
        <w:tc>
          <w:tcPr>
            <w:tcW w:type="dxa" w:w="24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花名册、社保、工资、工时、项目台账。</w:t>
            </w:r>
          </w:p>
        </w:tc>
      </w:tr>
      <w:tr>
        <w:trPr>
          <w:cantSplit/>
        </w:trPr>
        <w:tc>
          <w:tcPr>
            <w:tcW w:type="dxa" w:w="23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渠道覆盖大量眼镜门店</w:t>
            </w:r>
          </w:p>
        </w:tc>
        <w:tc>
          <w:tcPr>
            <w:tcW w:type="dxa" w:w="20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公司/发布会口径；调查报道提示落地不完全。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[S35]</w:t>
            </w:r>
          </w:p>
        </w:tc>
        <w:tc>
          <w:tcPr>
            <w:tcW w:type="dxa" w:w="25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开店数、动销、库存、返点和撤柜</w:t>
            </w:r>
          </w:p>
        </w:tc>
        <w:tc>
          <w:tcPr>
            <w:tcW w:type="dxa" w:w="24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门店清单抽样、POS、经销商函证、暗访。</w:t>
            </w:r>
          </w:p>
        </w:tc>
      </w:tr>
    </w:tbl>
    <w:p>
      <w:pPr>
        <w:spacing w:after="0"/>
      </w:pPr>
    </w:p>
    <w:p>
      <w:pPr>
        <w:pStyle w:val="Heading2"/>
      </w:pPr>
      <w:r>
        <w:t>10.3 单位经济模型：公开数据不足但可明确验证框架</w:t>
      </w:r>
    </w:p>
    <w:p>
      <w:r>
        <w:rPr>
          <w:rFonts w:ascii="Arial" w:hAnsi="Arial" w:eastAsia="Noto Sans CJK SC"/>
          <w:color w:val="1F1F1F"/>
          <w:sz w:val="21"/>
        </w:rPr>
        <w:t>硬件公司的“账面毛利”容易被退货、售后、渠道返点、样机、云推理和库存跌价侵蚀。建议按型号/渠道/地区计算贡献毛利，而不是只看合并毛利率。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指标</w:t>
            </w:r>
          </w:p>
        </w:tc>
        <w:tc>
          <w:tcPr>
            <w:tcW w:type="dxa" w:w="3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公式/口径</w:t>
            </w:r>
          </w:p>
        </w:tc>
        <w:tc>
          <w:tcPr>
            <w:tcW w:type="dxa" w:w="37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建议门槛或观察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净销售收入</w:t>
            </w:r>
          </w:p>
        </w:tc>
        <w:tc>
          <w:tcPr>
            <w:tcW w:type="dxa" w:w="3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含税销售－折扣－退款－返利－渠道补贴</w:t>
            </w:r>
          </w:p>
        </w:tc>
        <w:tc>
          <w:tcPr>
            <w:tcW w:type="dxa" w:w="3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与激活设备和现金回款勾稽。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贡献毛利</w:t>
            </w:r>
          </w:p>
        </w:tc>
        <w:tc>
          <w:tcPr>
            <w:tcW w:type="dxa" w:w="3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净收入－BOM－制造－物流－支付费－云/内容－保修退货</w:t>
            </w:r>
          </w:p>
        </w:tc>
        <w:tc>
          <w:tcPr>
            <w:tcW w:type="dxa" w:w="3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按AIR/GO/X、国内/海外、直营/经销拆分。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渠道效率</w:t>
            </w:r>
          </w:p>
        </w:tc>
        <w:tc>
          <w:tcPr>
            <w:tcW w:type="dxa" w:w="3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90天Sell-through÷Sell-in；库存周转天数</w:t>
            </w:r>
          </w:p>
        </w:tc>
        <w:tc>
          <w:tcPr>
            <w:tcW w:type="dxa" w:w="3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警惕压货确认收入。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产品质量</w:t>
            </w:r>
          </w:p>
        </w:tc>
        <w:tc>
          <w:tcPr>
            <w:tcW w:type="dxa" w:w="3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DOA、30/90/365日故障、退货、换新、NPS</w:t>
            </w:r>
          </w:p>
        </w:tc>
        <w:tc>
          <w:tcPr>
            <w:tcW w:type="dxa" w:w="3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按批次和供应商追溯。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用户价值</w:t>
            </w:r>
          </w:p>
        </w:tc>
        <w:tc>
          <w:tcPr>
            <w:tcW w:type="dxa" w:w="3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激活率、7/30/90日留存、日均佩戴时长、核心任务成功率</w:t>
            </w:r>
          </w:p>
        </w:tc>
        <w:tc>
          <w:tcPr>
            <w:tcW w:type="dxa" w:w="37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决定“新奇产品”能否成为日常终端。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现金转换</w:t>
            </w:r>
          </w:p>
        </w:tc>
        <w:tc>
          <w:tcPr>
            <w:tcW w:type="dxa" w:w="3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经营现金流÷EBITDA；应收+存货－应付</w:t>
            </w:r>
          </w:p>
        </w:tc>
        <w:tc>
          <w:tcPr>
            <w:tcW w:type="dxa" w:w="37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融资快不代表自我造血。</w:t>
            </w:r>
          </w:p>
        </w:tc>
      </w:tr>
    </w:tbl>
    <w:p>
      <w:pPr>
        <w:spacing w:after="0"/>
      </w:pPr>
    </w:p>
    <w:p>
      <w:pPr>
        <w:pStyle w:val="Heading1"/>
      </w:pPr>
      <w:r>
        <w:t>11. 区域布局与产业协同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区域</w:t>
            </w:r>
          </w:p>
        </w:tc>
        <w:tc>
          <w:tcPr>
            <w:tcW w:type="dxa" w:w="24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功能定位</w:t>
            </w:r>
          </w:p>
        </w:tc>
        <w:tc>
          <w:tcPr>
            <w:tcW w:type="dxa" w:w="2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协同价值</w:t>
            </w:r>
          </w:p>
        </w:tc>
        <w:tc>
          <w:tcPr>
            <w:tcW w:type="dxa" w:w="26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约束/风险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成都</w:t>
            </w:r>
          </w:p>
        </w:tc>
        <w:tc>
          <w:tcPr>
            <w:tcW w:type="dxa" w:w="24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总部、研发、政府与文旅场景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人才成本、政策、世运会/熊猫基地等示范场景</w:t>
            </w:r>
          </w:p>
        </w:tc>
        <w:tc>
          <w:tcPr>
            <w:tcW w:type="dxa" w:w="26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地方落地、税收/产值承诺；总部与供应链距离。</w:t>
            </w:r>
          </w:p>
        </w:tc>
      </w:tr>
      <w:tr>
        <w:trPr>
          <w:cantSplit/>
        </w:trPr>
        <w:tc>
          <w:tcPr>
            <w:tcW w:type="dxa" w:w="1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深圳—东莞—中山</w:t>
            </w:r>
          </w:p>
        </w:tc>
        <w:tc>
          <w:tcPr>
            <w:tcW w:type="dxa" w:w="24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硬件研发、供应链、整机装配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消费电子生态、工程和快速打样</w:t>
            </w:r>
          </w:p>
        </w:tc>
        <w:tc>
          <w:tcPr>
            <w:tcW w:type="dxa" w:w="26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跨主体成本分摊、核心人员两地管理。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无锡</w:t>
            </w:r>
          </w:p>
        </w:tc>
        <w:tc>
          <w:tcPr>
            <w:tcW w:type="dxa" w:w="24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光学模组研发与阵列光波导量产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梁溪产业资本、制造纵向整合</w:t>
            </w:r>
          </w:p>
        </w:tc>
        <w:tc>
          <w:tcPr>
            <w:tcW w:type="dxa" w:w="26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良率爬坡、产能利用、合资治理和固定成本。</w:t>
            </w:r>
          </w:p>
        </w:tc>
      </w:tr>
      <w:tr>
        <w:trPr>
          <w:cantSplit/>
        </w:trPr>
        <w:tc>
          <w:tcPr>
            <w:tcW w:type="dxa" w:w="1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洛阳</w:t>
            </w:r>
          </w:p>
        </w:tc>
        <w:tc>
          <w:tcPr>
            <w:tcW w:type="dxa" w:w="24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文旅场景与产业资本</w:t>
            </w:r>
          </w:p>
        </w:tc>
        <w:tc>
          <w:tcPr>
            <w:tcW w:type="dxa" w:w="2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文旅内容和规模化导览试验</w:t>
            </w:r>
          </w:p>
        </w:tc>
        <w:tc>
          <w:tcPr>
            <w:tcW w:type="dxa" w:w="26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示范项目可复制性、游客付费和设备运营。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日本/海外</w:t>
            </w:r>
          </w:p>
        </w:tc>
        <w:tc>
          <w:tcPr>
            <w:tcW w:type="dxa" w:w="24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DTC、渠道、本地支持</w:t>
            </w:r>
          </w:p>
        </w:tc>
        <w:tc>
          <w:tcPr>
            <w:tcW w:type="dxa" w:w="2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更高客单与全球品牌</w:t>
            </w:r>
          </w:p>
        </w:tc>
        <w:tc>
          <w:tcPr>
            <w:tcW w:type="dxa" w:w="26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认证、保修、隐私、专利、税务和汇率。</w:t>
            </w:r>
          </w:p>
        </w:tc>
      </w:tr>
    </w:tbl>
    <w:p>
      <w:pPr>
        <w:spacing w:after="0"/>
      </w:pPr>
    </w:p>
    <w:p>
      <w:r>
        <w:rPr>
          <w:rFonts w:ascii="Arial" w:hAnsi="Arial" w:eastAsia="Noto Sans CJK SC"/>
          <w:color w:val="1F1F1F"/>
          <w:sz w:val="21"/>
        </w:rPr>
        <w:t>这套布局本质上是“研发总部+珠三角供应链+无锡光学制造+地方场景”的资本—产业组合。其优势是资源密度，风险是组织复杂、关联交易和地方承诺叠加。经营上应以统一产品路线、统一质量体系和统一数据平台降低地域碎片化。</w:t>
      </w:r>
    </w:p>
    <w:p>
      <w:pPr>
        <w:pStyle w:val="Heading1"/>
      </w:pPr>
      <w:r>
        <w:t>12. 法律、合规与争议</w:t>
      </w:r>
    </w:p>
    <w:p>
      <w:pPr>
        <w:pStyle w:val="Heading2"/>
      </w:pPr>
      <w:r>
        <w:t>12.1 诉讼、仲裁与监管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20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事项</w:t>
            </w:r>
          </w:p>
        </w:tc>
        <w:tc>
          <w:tcPr>
            <w:tcW w:type="dxa" w:w="3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公开状态</w:t>
            </w:r>
          </w:p>
        </w:tc>
        <w:tc>
          <w:tcPr>
            <w:tcW w:type="dxa" w:w="22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风险判断</w:t>
            </w:r>
          </w:p>
        </w:tc>
        <w:tc>
          <w:tcPr>
            <w:tcW w:type="dxa" w:w="1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后续动作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美国337调查 337-TA-1455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2025-07立案；2025-12基于和解终止对INMO调查。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[S29]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[S30]</w:t>
            </w:r>
          </w:p>
        </w:tc>
        <w:tc>
          <w:tcPr>
            <w:tcW w:type="dxa" w:w="2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中高：无最终禁售，但和解义务、许可费和后续产品覆盖未知</w:t>
            </w:r>
          </w:p>
        </w:tc>
        <w:tc>
          <w:tcPr>
            <w:tcW w:type="dxa" w:w="1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调阅和解协议、付款、律师函、FTO及产品设计规避。</w:t>
            </w:r>
          </w:p>
        </w:tc>
      </w:tr>
      <w:tr>
        <w:trPr>
          <w:cantSplit/>
        </w:trPr>
        <w:tc>
          <w:tcPr>
            <w:tcW w:type="dxa" w:w="2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深圳劳动仲裁</w:t>
            </w:r>
          </w:p>
        </w:tc>
        <w:tc>
          <w:tcPr>
            <w:tcW w:type="dxa" w:w="3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2024年一宗公告，员工主张工资、加班、违法解除等；未发现公开结果。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[S31]</w:t>
            </w:r>
          </w:p>
        </w:tc>
        <w:tc>
          <w:tcPr>
            <w:tcW w:type="dxa" w:w="22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低—中：单案不代表系统性，但涉及工时与解除管理</w:t>
            </w:r>
          </w:p>
        </w:tc>
        <w:tc>
          <w:tcPr>
            <w:tcW w:type="dxa" w:w="1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取得裁决/和解、类似案件清单、加班与绩效制度。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国内行政/失信</w:t>
            </w:r>
          </w:p>
        </w:tc>
        <w:tc>
          <w:tcPr>
            <w:tcW w:type="dxa" w:w="3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公开检索未发现重大处罚结论</w:t>
            </w:r>
          </w:p>
        </w:tc>
        <w:tc>
          <w:tcPr>
            <w:tcW w:type="dxa" w:w="22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信息不足：不能作“无处罚”保证</w:t>
            </w:r>
          </w:p>
        </w:tc>
        <w:tc>
          <w:tcPr>
            <w:tcW w:type="dxa" w:w="1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企业信用、公示系统、税务、海关、市场监管、消防和网信专项核验。</w:t>
            </w:r>
          </w:p>
        </w:tc>
      </w:tr>
    </w:tbl>
    <w:p>
      <w:pPr>
        <w:spacing w:after="0"/>
      </w:pPr>
    </w:p>
    <w:p>
      <w:pPr>
        <w:pStyle w:val="Heading2"/>
      </w:pPr>
      <w:r>
        <w:t>12.2 数据与隐私合规</w:t>
      </w:r>
    </w:p>
    <w:p>
      <w:r>
        <w:rPr>
          <w:rFonts w:ascii="Arial" w:hAnsi="Arial" w:eastAsia="Noto Sans CJK SC"/>
          <w:color w:val="1F1F1F"/>
          <w:sz w:val="21"/>
        </w:rPr>
        <w:t>AI眼镜可能持续处理摄像、语音、位置、通讯、设备标识和云端模型数据，天然处于高隐私风险区。INMO中文隐私政策显示收集语音、图像、位置、设备信息，并可能用于模型训练和与关联方/服务商共享。</w:t>
      </w:r>
      <w:r>
        <w:rPr>
          <w:rFonts w:ascii="Arial" w:hAnsi="Arial" w:eastAsia="Noto Sans CJK SC"/>
          <w:b/>
          <w:color w:val="2E74B5"/>
          <w:sz w:val="17"/>
          <w:vertAlign w:val="superscript"/>
        </w:rPr>
        <w:t>[S32]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</w:tblPr>
      <w:tblGrid>
        <w:gridCol w:w="9659"/>
      </w:tblGrid>
      <w:tr>
        <w:tc>
          <w:tcPr>
            <w:tcW w:type="dxa" w:w="9360"/>
            <w:shd w:fill="F4CCCC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C00000"/>
                <w:sz w:val="21"/>
              </w:rPr>
              <w:t>公开文件暴露的治理缺口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中文隐私政策最近更新时间为2023年4月，主体仍写“深圳影目科技有限公司”，而公司已迁至四川；联系邮箱出现“customer@App.com”等明显占位内容。政策还需与2025年生效的人脸识别办法、当前第三方SDK、模型训练和海外业务同步。该问题不等同已经违法，但构成应立即整改的合规红旗。</w:t>
            </w:r>
            <w:r>
              <w:rPr>
                <w:rFonts w:ascii="Arial" w:hAnsi="Arial" w:eastAsia="Noto Sans CJK SC"/>
                <w:b/>
                <w:color w:val="2E74B5"/>
                <w:sz w:val="17"/>
                <w:vertAlign w:val="superscript"/>
              </w:rPr>
              <w:t>[S32]</w:t>
            </w:r>
            <w:r>
              <w:rPr>
                <w:rFonts w:ascii="Arial" w:hAnsi="Arial" w:eastAsia="Noto Sans CJK SC"/>
                <w:b/>
                <w:color w:val="2E74B5"/>
                <w:sz w:val="17"/>
                <w:vertAlign w:val="superscript"/>
              </w:rPr>
              <w:t>[S34]</w:t>
            </w:r>
            <w:r>
              <w:rPr>
                <w:rFonts w:ascii="Arial" w:hAnsi="Arial" w:eastAsia="Noto Sans CJK SC"/>
                <w:b/>
                <w:color w:val="2E74B5"/>
                <w:sz w:val="17"/>
                <w:vertAlign w:val="superscript"/>
              </w:rPr>
              <w:t>[S45]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7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主题</w:t>
            </w:r>
          </w:p>
        </w:tc>
        <w:tc>
          <w:tcPr>
            <w:tcW w:type="dxa" w:w="38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法规/风险点</w:t>
            </w:r>
          </w:p>
        </w:tc>
        <w:tc>
          <w:tcPr>
            <w:tcW w:type="dxa" w:w="3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应取得证据</w:t>
            </w:r>
          </w:p>
        </w:tc>
      </w:tr>
      <w:tr>
        <w:trPr>
          <w:cantSplit/>
        </w:trPr>
        <w:tc>
          <w:tcPr>
            <w:tcW w:type="dxa" w:w="1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摄像与人脸</w:t>
            </w:r>
          </w:p>
        </w:tc>
        <w:tc>
          <w:tcPr>
            <w:tcW w:type="dxa" w:w="3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若用于识别特定个人，需目的必要、显著告知、单独同意、影响评估；原则上设备内存储。</w:t>
            </w:r>
            <w:r>
              <w:rPr>
                <w:rFonts w:ascii="Arial" w:hAnsi="Arial" w:eastAsia="Noto Sans CJK SC"/>
                <w:b/>
                <w:color w:val="2E74B5"/>
                <w:sz w:val="15"/>
                <w:vertAlign w:val="superscript"/>
              </w:rPr>
              <w:t>[S34]</w:t>
            </w:r>
          </w:p>
        </w:tc>
        <w:tc>
          <w:tcPr>
            <w:tcW w:type="dxa" w:w="3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功能清单、PIPIA、数据流图、端侧/云端架构、公共场所提示设计。</w:t>
            </w:r>
          </w:p>
        </w:tc>
      </w:tr>
      <w:tr>
        <w:trPr>
          <w:cantSplit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语音与模型训练</w:t>
            </w:r>
          </w:p>
        </w:tc>
        <w:tc>
          <w:tcPr>
            <w:tcW w:type="dxa" w:w="3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敏感内容、儿童信息、第三方模型传输、训练退出机制</w:t>
            </w:r>
          </w:p>
        </w:tc>
        <w:tc>
          <w:tcPr>
            <w:tcW w:type="dxa" w:w="3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采集开关、训练数据合同、脱敏、保留期限、供应商DPA。</w:t>
            </w:r>
          </w:p>
        </w:tc>
      </w:tr>
      <w:tr>
        <w:trPr>
          <w:cantSplit/>
        </w:trPr>
        <w:tc>
          <w:tcPr>
            <w:tcW w:type="dxa" w:w="1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App/SDK权限</w:t>
            </w:r>
          </w:p>
        </w:tc>
        <w:tc>
          <w:tcPr>
            <w:tcW w:type="dxa" w:w="3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非必要权限、第三方SDK、注销删除、个性化推荐</w:t>
            </w:r>
          </w:p>
        </w:tc>
        <w:tc>
          <w:tcPr>
            <w:tcW w:type="dxa" w:w="3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SDK清单、权限测试、应用商店隐私标签、渗透测试和整改记录。</w:t>
            </w:r>
          </w:p>
        </w:tc>
      </w:tr>
      <w:tr>
        <w:trPr>
          <w:cantSplit/>
        </w:trPr>
        <w:tc>
          <w:tcPr>
            <w:tcW w:type="dxa" w:w="17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跨境与海外</w:t>
            </w:r>
          </w:p>
        </w:tc>
        <w:tc>
          <w:tcPr>
            <w:tcW w:type="dxa" w:w="38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全球站、日本/欧美用户、数据出境与本地法规</w:t>
            </w:r>
          </w:p>
        </w:tc>
        <w:tc>
          <w:tcPr>
            <w:tcW w:type="dxa" w:w="3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数据地图、服务器位置、标准合同/认证、GDPR/CCPA/APPI评估。</w:t>
            </w:r>
          </w:p>
        </w:tc>
      </w:tr>
      <w:tr>
        <w:trPr>
          <w:cantSplit/>
        </w:trPr>
        <w:tc>
          <w:tcPr>
            <w:tcW w:type="dxa" w:w="17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安全治理</w:t>
            </w:r>
          </w:p>
        </w:tc>
        <w:tc>
          <w:tcPr>
            <w:tcW w:type="dxa" w:w="38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账号、云端、固件升级、供应链漏洞</w:t>
            </w:r>
          </w:p>
        </w:tc>
        <w:tc>
          <w:tcPr>
            <w:tcW w:type="dxa" w:w="3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等保/ISO 27001、漏洞响应、SBOM、OTA签名、事件记录。</w:t>
            </w:r>
          </w:p>
        </w:tc>
      </w:tr>
    </w:tbl>
    <w:p>
      <w:pPr>
        <w:spacing w:after="0"/>
      </w:pPr>
    </w:p>
    <w:p>
      <w:pPr>
        <w:pStyle w:val="Heading2"/>
      </w:pPr>
      <w:r>
        <w:t>12.3 产品与贸易合规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核验中国CCC（如适用）、SRRC/型号核准、入网、RoHS、锂电运输与产品质量责任；海外核验FCC/CE/UKCA/TELEC及电池法规。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说明摄像指示灯、物理遮挡、录音提示和未成年人模式，降低偷拍和公共场所合规风险。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建立各市场召回、售后备件和产品责任保险；海外众筹/DTC需检查延迟交付、退款和消费者法义务。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对高通、Sony等进口器件进行出口管制、制裁与供应连续性评估。</w:t>
      </w:r>
    </w:p>
    <w:p>
      <w:pPr>
        <w:pStyle w:val="Heading1"/>
      </w:pPr>
      <w:r>
        <w:t>13. 风险矩阵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1610"/>
        <w:gridCol w:w="1610"/>
        <w:gridCol w:w="1610"/>
        <w:gridCol w:w="1610"/>
        <w:gridCol w:w="1610"/>
        <w:gridCol w:w="1610"/>
      </w:tblGrid>
      <w:tr>
        <w:trPr>
          <w:tblHeader w:val="true"/>
          <w:cantSplit/>
        </w:trPr>
        <w:tc>
          <w:tcPr>
            <w:tcW w:type="dxa" w:w="16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5"/>
              </w:rPr>
              <w:t>风险</w:t>
            </w:r>
          </w:p>
        </w:tc>
        <w:tc>
          <w:tcPr>
            <w:tcW w:type="dxa" w:w="7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5"/>
              </w:rPr>
              <w:t>概率</w:t>
            </w:r>
          </w:p>
        </w:tc>
        <w:tc>
          <w:tcPr>
            <w:tcW w:type="dxa" w:w="7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5"/>
              </w:rPr>
              <w:t>影响</w:t>
            </w:r>
          </w:p>
        </w:tc>
        <w:tc>
          <w:tcPr>
            <w:tcW w:type="dxa" w:w="7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5"/>
              </w:rPr>
              <w:t>评级</w:t>
            </w:r>
          </w:p>
        </w:tc>
        <w:tc>
          <w:tcPr>
            <w:tcW w:type="dxa" w:w="2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5"/>
              </w:rPr>
              <w:t>触发信号</w:t>
            </w:r>
          </w:p>
        </w:tc>
        <w:tc>
          <w:tcPr>
            <w:tcW w:type="dxa" w:w="2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5"/>
              </w:rPr>
              <w:t>缓释/交易条件</w:t>
            </w:r>
          </w:p>
        </w:tc>
      </w:tr>
      <w:tr>
        <w:trPr>
          <w:cantSplit/>
        </w:trPr>
        <w:tc>
          <w:tcPr>
            <w:tcW w:type="dxa" w:w="16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真实经营质量低于宣传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审计收入、激活、回款和退货不闭环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财务+设备序列号专项审计；分期估值。</w:t>
            </w:r>
          </w:p>
        </w:tc>
      </w:tr>
      <w:tr>
        <w:trPr>
          <w:cantSplit/>
        </w:trPr>
        <w:tc>
          <w:tcPr>
            <w:tcW w:type="dxa" w:w="16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337和解/FTO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新产品被主张、许可费超预期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调阅和解；多法域FTO；赔偿/托管。</w:t>
            </w:r>
          </w:p>
        </w:tc>
      </w:tr>
      <w:tr>
        <w:trPr>
          <w:cantSplit/>
        </w:trPr>
        <w:tc>
          <w:tcPr>
            <w:tcW w:type="dxa" w:w="16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产品体验与高退货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续航/发热/亮度投诉、退换率上升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型号级队列数据；质量保证金；售后准备。</w:t>
            </w:r>
          </w:p>
        </w:tc>
      </w:tr>
      <w:tr>
        <w:trPr>
          <w:cantSplit/>
        </w:trPr>
        <w:tc>
          <w:tcPr>
            <w:tcW w:type="dxa" w:w="16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关键器件单供与成本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停产、价格上调、良率下降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双供、长协、库存策略、设计替代。</w:t>
            </w:r>
          </w:p>
        </w:tc>
      </w:tr>
      <w:tr>
        <w:trPr>
          <w:cantSplit/>
        </w:trPr>
        <w:tc>
          <w:tcPr>
            <w:tcW w:type="dxa" w:w="16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数据/摄像隐私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政策过期、权限超范围、事件/投诉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隐私整改、DPO、PIPIA、第三方审计。</w:t>
            </w:r>
          </w:p>
        </w:tc>
      </w:tr>
      <w:tr>
        <w:trPr>
          <w:cantSplit/>
        </w:trPr>
        <w:tc>
          <w:tcPr>
            <w:tcW w:type="dxa" w:w="16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渠道扩张不达预期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铺店慢、单店低动销、压货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按Sell-through结算；区域试点后扩张。</w:t>
            </w:r>
          </w:p>
        </w:tc>
      </w:tr>
      <w:tr>
        <w:trPr>
          <w:cantSplit/>
        </w:trPr>
        <w:tc>
          <w:tcPr>
            <w:tcW w:type="dxa" w:w="16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光学产线爬坡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良率/稼动率低、单位成本高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量产审核、阶段产能、外协备份。</w:t>
            </w:r>
          </w:p>
        </w:tc>
      </w:tr>
      <w:tr>
        <w:trPr>
          <w:cantSplit/>
        </w:trPr>
        <w:tc>
          <w:tcPr>
            <w:tcW w:type="dxa" w:w="16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现金消耗/库存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融资依赖、存货与应收增速超收入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13周现金流、库存跌价、资金用途监管。</w:t>
            </w:r>
          </w:p>
        </w:tc>
      </w:tr>
      <w:tr>
        <w:trPr>
          <w:cantSplit/>
        </w:trPr>
        <w:tc>
          <w:tcPr>
            <w:tcW w:type="dxa" w:w="16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治理/关联交易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中高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股权表不一致、地方承诺冲突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完整交易文件、保留事项、关联交易政策。</w:t>
            </w:r>
          </w:p>
        </w:tc>
      </w:tr>
      <w:tr>
        <w:trPr>
          <w:cantSplit/>
        </w:trPr>
        <w:tc>
          <w:tcPr>
            <w:tcW w:type="dxa" w:w="16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关键人/组织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高管流失、创始人过载</w:t>
            </w:r>
          </w:p>
        </w:tc>
        <w:tc>
          <w:tcPr>
            <w:tcW w:type="dxa" w:w="2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关键人条款、二梯队、激励和继任。</w:t>
            </w:r>
          </w:p>
        </w:tc>
      </w:tr>
      <w:tr>
        <w:trPr>
          <w:cantSplit/>
        </w:trPr>
        <w:tc>
          <w:tcPr>
            <w:tcW w:type="dxa" w:w="16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5"/>
              </w:rPr>
              <w:t>劳动争议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低—中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</w:t>
            </w:r>
          </w:p>
        </w:tc>
        <w:tc>
          <w:tcPr>
            <w:tcW w:type="dxa" w:w="7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中低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同类仲裁增多、加班制度缺陷</w:t>
            </w:r>
          </w:p>
        </w:tc>
        <w:tc>
          <w:tcPr>
            <w:tcW w:type="dxa" w:w="2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5"/>
              </w:rPr>
              <w:t>劳动用工专项审查和历史和解。</w:t>
            </w:r>
          </w:p>
        </w:tc>
      </w:tr>
    </w:tbl>
    <w:p>
      <w:pPr>
        <w:spacing w:after="0"/>
      </w:pPr>
    </w:p>
    <w:p>
      <w:pPr>
        <w:pStyle w:val="Heading1"/>
      </w:pPr>
      <w:r>
        <w:t>14. 竞争力、情景与战略判断</w:t>
      </w:r>
    </w:p>
    <w:p>
      <w:pPr>
        <w:pStyle w:val="Heading2"/>
      </w:pPr>
      <w:r>
        <w:t>14.1 SWOT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tblHeader w:val="true"/>
          <w:cantSplit/>
        </w:trPr>
        <w:tc>
          <w:tcPr>
            <w:tcW w:type="dxa" w:w="468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优势 Strengths</w:t>
            </w:r>
          </w:p>
        </w:tc>
        <w:tc>
          <w:tcPr>
            <w:tcW w:type="dxa" w:w="468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劣势 Weaknesses</w:t>
            </w:r>
          </w:p>
        </w:tc>
      </w:tr>
      <w:tr>
        <w:trPr>
          <w:cantSplit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• 一体式显示型AR较早量产</w:t>
              <w:br/>
              <w:t>• AIR/GO/X多路线覆盖</w:t>
              <w:br/>
              <w:t>• 创始团队产品与消费电子经验</w:t>
              <w:br/>
              <w:t>• 多轮产业资本与地方资源</w:t>
              <w:br/>
              <w:t>• 成都—珠三角—无锡协同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• 审计财务与经营核心数据不公开</w:t>
              <w:br/>
              <w:t>• 关键显示/芯片外部依赖</w:t>
              <w:br/>
              <w:t>• 多路线导致研发与库存分散</w:t>
              <w:br/>
              <w:t>• 线下渠道、售后和全球合规待验证</w:t>
              <w:br/>
              <w:t>• 治理、关联实体与团队二梯队透明度有限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tblHeader w:val="true"/>
          <w:cantSplit/>
        </w:trPr>
        <w:tc>
          <w:tcPr>
            <w:tcW w:type="dxa" w:w="4680"/>
            <w:shd w:fill="2E74B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机会 Opportunities</w:t>
            </w:r>
          </w:p>
        </w:tc>
        <w:tc>
          <w:tcPr>
            <w:tcW w:type="dxa" w:w="4680"/>
            <w:shd w:fill="2E74B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威胁 Threats</w:t>
            </w:r>
          </w:p>
        </w:tc>
      </w:tr>
      <w:tr>
        <w:trPr>
          <w:cantSplit/>
        </w:trPr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• AI多模态使眼镜成为新入口</w:t>
              <w:br/>
              <w:t>• 翻译、提词、文旅等刚需场景先商业化</w:t>
              <w:br/>
              <w:t>• 光波导与MicroLED成本下降</w:t>
              <w:br/>
              <w:t>• 国内政策和标准体系支持</w:t>
              <w:br/>
              <w:t>• 海外细分市场与时尚化</w:t>
            </w:r>
          </w:p>
        </w:tc>
        <w:tc>
          <w:tcPr>
            <w:tcW w:type="dxa" w:w="468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• 平台公司/手机厂资本与生态碾压</w:t>
              <w:br/>
              <w:t>• 技术路线快速迭代造成库存和研发沉没</w:t>
              <w:br/>
              <w:t>• 隐私、专利和产品责任监管上升</w:t>
              <w:br/>
              <w:t>• 体验不达预期导致高退货和低留存</w:t>
              <w:br/>
              <w:t>• 行业市占统计波动，品牌护城河尚未固化</w:t>
            </w:r>
          </w:p>
        </w:tc>
      </w:tr>
    </w:tbl>
    <w:p>
      <w:pPr>
        <w:spacing w:after="0"/>
      </w:pPr>
    </w:p>
    <w:p>
      <w:pPr>
        <w:pStyle w:val="Heading2"/>
      </w:pPr>
      <w:r>
        <w:t>14.2 三情景判断（未来24—36个月）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2415"/>
        <w:gridCol w:w="2415"/>
        <w:gridCol w:w="2415"/>
        <w:gridCol w:w="2415"/>
      </w:tblGrid>
      <w:tr>
        <w:trPr>
          <w:tblHeader w:val="true"/>
          <w:cantSplit/>
        </w:trPr>
        <w:tc>
          <w:tcPr>
            <w:tcW w:type="dxa" w:w="13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情景</w:t>
            </w:r>
          </w:p>
        </w:tc>
        <w:tc>
          <w:tcPr>
            <w:tcW w:type="dxa" w:w="3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关键假设</w:t>
            </w:r>
          </w:p>
        </w:tc>
        <w:tc>
          <w:tcPr>
            <w:tcW w:type="dxa" w:w="26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可能结果</w:t>
            </w:r>
          </w:p>
        </w:tc>
        <w:tc>
          <w:tcPr>
            <w:tcW w:type="dxa" w:w="18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领先指标</w:t>
            </w:r>
          </w:p>
        </w:tc>
      </w:tr>
      <w:tr>
        <w:trPr>
          <w:cantSplit/>
        </w:trPr>
        <w:tc>
          <w:tcPr>
            <w:tcW w:type="dxa" w:w="1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乐观</w:t>
            </w:r>
          </w:p>
        </w:tc>
        <w:tc>
          <w:tcPr>
            <w:tcW w:type="dxa" w:w="3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GO系列翻译成为高频入口；AIR3后续明显改善功耗；线下动销与海外增长；无锡良率稳定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收入跨越式增长并形成硬件+订阅，下一轮/IPO叙事成立</w:t>
            </w:r>
          </w:p>
        </w:tc>
        <w:tc>
          <w:tcPr>
            <w:tcW w:type="dxa" w:w="1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90日留存、复购/续费、海外净收入、贡献毛利、产线良率。</w:t>
            </w:r>
          </w:p>
        </w:tc>
      </w:tr>
      <w:tr>
        <w:trPr>
          <w:cantSplit/>
        </w:trPr>
        <w:tc>
          <w:tcPr>
            <w:tcW w:type="dxa" w:w="13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基准</w:t>
            </w:r>
          </w:p>
        </w:tc>
        <w:tc>
          <w:tcPr>
            <w:tcW w:type="dxa" w:w="3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行业增长但品牌竞争激烈；B2C和B端均增长，毛利被渠道与售后部分侵蚀</w:t>
            </w:r>
          </w:p>
        </w:tc>
        <w:tc>
          <w:tcPr>
            <w:tcW w:type="dxa" w:w="26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维持创业公司头部位置，仍需持续融资与聚焦产品线</w:t>
            </w:r>
          </w:p>
        </w:tc>
        <w:tc>
          <w:tcPr>
            <w:tcW w:type="dxa" w:w="18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净现金消耗、库存周转、渠道Sell-through、单型号盈亏。</w:t>
            </w:r>
          </w:p>
        </w:tc>
      </w:tr>
      <w:tr>
        <w:trPr>
          <w:cantSplit/>
        </w:trPr>
        <w:tc>
          <w:tcPr>
            <w:tcW w:type="dxa" w:w="13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悲观</w:t>
            </w:r>
          </w:p>
        </w:tc>
        <w:tc>
          <w:tcPr>
            <w:tcW w:type="dxa" w:w="3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平台公司抢占渠道；核心产品退货高；337/隐私或供应问题；多地扩张拖累现金</w:t>
            </w:r>
          </w:p>
        </w:tc>
        <w:tc>
          <w:tcPr>
            <w:tcW w:type="dxa" w:w="26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收入低于宣传、库存与固定成本上升，估值下修或被并购整合</w:t>
            </w:r>
          </w:p>
        </w:tc>
        <w:tc>
          <w:tcPr>
            <w:tcW w:type="dxa" w:w="18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退货/故障、应收逾期、裁员、供应商账期拉长、融资条件恶化。</w:t>
            </w:r>
          </w:p>
        </w:tc>
      </w:tr>
    </w:tbl>
    <w:p>
      <w:pPr>
        <w:spacing w:after="0"/>
      </w:pPr>
    </w:p>
    <w:p>
      <w:pPr>
        <w:pStyle w:val="Heading2"/>
      </w:pPr>
      <w:r>
        <w:t>14.3 最值得跟踪的十项指标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按型号和渠道的Sell-through，而非出货；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7/30/90日激活留存与日均佩戴时长；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退货率、DOA、90/365日故障率和单台售后成本；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贡献毛利（扣除云、渠道、保修、物流）；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库存周转、库龄与价格保护；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核心器件采购集中度和可替代性；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无锡产线一次良率、稼动率和单位模组成本；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B2B项目标准化率、验收周期和应收账款；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订阅付费率、模型调用成本和生态分成；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经营现金流、融资后现金跑道和地方承诺履约。</w:t>
      </w:r>
    </w:p>
    <w:p>
      <w:pPr>
        <w:pStyle w:val="Heading1"/>
      </w:pPr>
      <w:r>
        <w:t>15. 下一阶段尽调清单与建议条件</w:t>
      </w:r>
    </w:p>
    <w:p>
      <w:pPr>
        <w:pStyle w:val="Heading2"/>
      </w:pPr>
      <w:r>
        <w:t>15.1 优先级P0：影响是否继续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3220"/>
        <w:gridCol w:w="3220"/>
        <w:gridCol w:w="3220"/>
      </w:tblGrid>
      <w:tr>
        <w:trPr>
          <w:tblHeader w:val="true"/>
          <w:cantSplit/>
        </w:trPr>
        <w:tc>
          <w:tcPr>
            <w:tcW w:type="dxa" w:w="15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模块</w:t>
            </w:r>
          </w:p>
        </w:tc>
        <w:tc>
          <w:tcPr>
            <w:tcW w:type="dxa" w:w="505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必须取得的文件/数据</w:t>
            </w:r>
          </w:p>
        </w:tc>
        <w:tc>
          <w:tcPr>
            <w:tcW w:type="dxa" w:w="281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核验目的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股权治理</w:t>
            </w:r>
          </w:p>
        </w:tc>
        <w:tc>
          <w:tcPr>
            <w:tcW w:type="dxa" w:w="50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最新章程、完全摊薄股权表、历轮投资协议、董事会资料、股权质押/代持/期权</w:t>
            </w:r>
          </w:p>
        </w:tc>
        <w:tc>
          <w:tcPr>
            <w:tcW w:type="dxa" w:w="28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控制权、清算优先、回购对赌和潜在稀释。</w:t>
            </w:r>
          </w:p>
        </w:tc>
      </w:tr>
      <w:tr>
        <w:trPr>
          <w:cantSplit/>
        </w:trPr>
        <w:tc>
          <w:tcPr>
            <w:tcW w:type="dxa" w:w="1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财务税务</w:t>
            </w:r>
          </w:p>
        </w:tc>
        <w:tc>
          <w:tcPr>
            <w:tcW w:type="dxa" w:w="50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2023—2026YTD审计/管理报表、总账、纳税、银行流水、政府补助、关联交易</w:t>
            </w:r>
          </w:p>
        </w:tc>
        <w:tc>
          <w:tcPr>
            <w:tcW w:type="dxa" w:w="28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收入质量、现金、债务、补助依赖和合规。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销售数据</w:t>
            </w:r>
          </w:p>
        </w:tc>
        <w:tc>
          <w:tcPr>
            <w:tcW w:type="dxa" w:w="50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订单、出库、序列号、激活、回款、退货、换新，按SKU/渠道/地区</w:t>
            </w:r>
          </w:p>
        </w:tc>
        <w:tc>
          <w:tcPr>
            <w:tcW w:type="dxa" w:w="28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验证销量、收入和用户留存。</w:t>
            </w:r>
          </w:p>
        </w:tc>
      </w:tr>
      <w:tr>
        <w:trPr>
          <w:cantSplit/>
        </w:trPr>
        <w:tc>
          <w:tcPr>
            <w:tcW w:type="dxa" w:w="1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IP/337</w:t>
            </w:r>
          </w:p>
        </w:tc>
        <w:tc>
          <w:tcPr>
            <w:tcW w:type="dxa" w:w="50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和解协议、律师意见、专利台账、酷派IP交割、第三方许可、FTO</w:t>
            </w:r>
          </w:p>
        </w:tc>
        <w:tc>
          <w:tcPr>
            <w:tcW w:type="dxa" w:w="28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是否存在许可费、限制和再次被诉风险。</w:t>
            </w:r>
          </w:p>
        </w:tc>
      </w:tr>
      <w:tr>
        <w:trPr>
          <w:cantSplit/>
        </w:trPr>
        <w:tc>
          <w:tcPr>
            <w:tcW w:type="dxa" w:w="15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供应链</w:t>
            </w:r>
          </w:p>
        </w:tc>
        <w:tc>
          <w:tcPr>
            <w:tcW w:type="dxa" w:w="505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BOM、前十大供应商、框架协议、单供清单、质量数据、代工/无锡产线资料</w:t>
            </w:r>
          </w:p>
        </w:tc>
        <w:tc>
          <w:tcPr>
            <w:tcW w:type="dxa" w:w="281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成本、交付、关联采购和产能真实性。</w:t>
            </w:r>
          </w:p>
        </w:tc>
      </w:tr>
      <w:tr>
        <w:trPr>
          <w:cantSplit/>
        </w:trPr>
        <w:tc>
          <w:tcPr>
            <w:tcW w:type="dxa" w:w="15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隐私安全</w:t>
            </w:r>
          </w:p>
        </w:tc>
        <w:tc>
          <w:tcPr>
            <w:tcW w:type="dxa" w:w="505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数据流图、SDK、隐私政策版本、PIPIA、出境、等保/渗透、事件清单</w:t>
            </w:r>
          </w:p>
        </w:tc>
        <w:tc>
          <w:tcPr>
            <w:tcW w:type="dxa" w:w="281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摄像/语音/模型/海外合规。</w:t>
            </w:r>
          </w:p>
        </w:tc>
      </w:tr>
    </w:tbl>
    <w:p>
      <w:pPr>
        <w:spacing w:after="0"/>
      </w:pPr>
    </w:p>
    <w:p>
      <w:pPr>
        <w:pStyle w:val="Heading2"/>
      </w:pPr>
      <w:r>
        <w:t>15.2 优先级P1：影响估值与条款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客户/渠道：前二十大客户、经销商合同、价格/返利/退货权、渠道库存和函证；门店抽样。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研发与产品：路线图、NPI、研发资本化、可靠性测试、认证、开源软件和OTA安全。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人员：组织架构、高管合同、社保公积金、股权激励、关键研发人员流失、竞业和职务发明。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关联企业：境内外实体、分公司、无锡JV、日本主体、银行账户、IP和员工归属；关联交易定价。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法务：诉讼/仲裁/投诉、产品责任、广告宣传、政府项目、进出口、保险、重大合同控制权变更条款。</w:t>
      </w:r>
    </w:p>
    <w:p>
      <w:pPr>
        <w:pStyle w:val="Heading2"/>
      </w:pPr>
      <w:r>
        <w:t>15.3 建议写入交易文件的保护条款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tblHeader w:val="true"/>
          <w:cantSplit/>
        </w:trPr>
        <w:tc>
          <w:tcPr>
            <w:tcW w:type="dxa" w:w="19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条款</w:t>
            </w:r>
          </w:p>
        </w:tc>
        <w:tc>
          <w:tcPr>
            <w:tcW w:type="dxa" w:w="74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建议内容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先决条件</w:t>
            </w:r>
          </w:p>
        </w:tc>
        <w:tc>
          <w:tcPr>
            <w:tcW w:type="dxa" w:w="7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337和解审阅无重大不利限制；股权与IP权属清晰；隐私政策整改；关键客户/供应商函证通过。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分期/里程碑</w:t>
            </w:r>
          </w:p>
        </w:tc>
        <w:tc>
          <w:tcPr>
            <w:tcW w:type="dxa" w:w="7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将部分投资、采购额度或渠道保证金与Sell-through、贡献毛利、退货率、现金流和良率绑定。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陈述保证</w:t>
            </w:r>
          </w:p>
        </w:tc>
        <w:tc>
          <w:tcPr>
            <w:tcW w:type="dxa" w:w="7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收入/销量口径、无未披露关联方和债务、IP不侵权、数据与产品合规、政府补助和产业承诺。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专项赔偿</w:t>
            </w:r>
          </w:p>
        </w:tc>
        <w:tc>
          <w:tcPr>
            <w:tcW w:type="dxa" w:w="7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337和解/专利、历史税务劳动、数据泄露、产品召回、虚假宣传和未披露对赌。</w:t>
            </w:r>
          </w:p>
        </w:tc>
      </w:tr>
      <w:tr>
        <w:trPr>
          <w:cantSplit/>
        </w:trPr>
        <w:tc>
          <w:tcPr>
            <w:tcW w:type="dxa" w:w="19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信息权</w:t>
            </w:r>
          </w:p>
        </w:tc>
        <w:tc>
          <w:tcPr>
            <w:tcW w:type="dxa" w:w="74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月度财务、设备激活与退货、库存、现金、重大诉讼、数据事件、供应中断；审计和现场检查权。</w:t>
            </w:r>
          </w:p>
        </w:tc>
      </w:tr>
      <w:tr>
        <w:trPr>
          <w:cantSplit/>
        </w:trPr>
        <w:tc>
          <w:tcPr>
            <w:tcW w:type="dxa" w:w="19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治理权</w:t>
            </w:r>
          </w:p>
        </w:tc>
        <w:tc>
          <w:tcPr>
            <w:tcW w:type="dxa" w:w="74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重大关联交易、融资、担保、IP处置、产能投资、预算超支和关键高管变更设保留事项。</w:t>
            </w:r>
          </w:p>
        </w:tc>
      </w:tr>
    </w:tbl>
    <w:p>
      <w:pPr>
        <w:spacing w:after="0"/>
      </w:pPr>
    </w:p>
    <w:p>
      <w:pPr>
        <w:pStyle w:val="Heading1"/>
      </w:pPr>
      <w:r>
        <w:t>16. 仍待回答的关键问题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2025年约2亿元收入中，AIR/GO/X、国内/海外、直营/经销、硬件/软件分别占多少？是否含税、补助或一次性项目？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10万副“销量”是出货、消费者签收还是激活？30/90天退货、换新、留存和日均佩戴时长是多少？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各型号完整贡献毛利是多少？云推理、翻译、内容、渠道返利和售后是否计入成本？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前五大供应商采购占比、单一来源物料、替代验证周期和价格锁定机制是什么？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无锡产线当前月产、良率、稼动率、单位成本、设备投入和四川影目对其采购定价如何？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337和解是否覆盖未来产品？是否存在持续许可费、地域限制、审计权、最惠待遇或违约触发？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公司最新完全摊薄股权、创始人表决权、董事会构成、回购/对赌和地方产业承诺是什么？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中文隐私政策为何自2023年未更新且仍使用旧主体和占位邮箱？实际App权限和第三方SDK是否与政策一致？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日本主体及其他境外实体的股权、税务、经销、数据和售后责任如何安排？</w:t>
      </w:r>
    </w:p>
    <w:p>
      <w:pPr>
        <w:pStyle w:val="ListNumber"/>
      </w:pPr>
      <w:r>
        <w:rPr>
          <w:rFonts w:ascii="Arial" w:hAnsi="Arial" w:eastAsia="Noto Sans CJK SC"/>
          <w:color w:val="1F1F1F"/>
          <w:sz w:val="21"/>
        </w:rPr>
        <w:t>CTO/CFO/质量/供应链/法务与数据保护负责人是谁？如果创始人暂时离岗，谁能独立经营？</w:t>
      </w:r>
    </w:p>
    <w:p>
      <w:pPr>
        <w:pStyle w:val="Heading1"/>
      </w:pPr>
      <w:r>
        <w:t>17. 综合结论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548235"/>
          <w:left w:val="single" w:sz="8" w:space="0" w:color="548235"/>
          <w:bottom w:val="single" w:sz="8" w:space="0" w:color="548235"/>
          <w:right w:val="single" w:sz="8" w:space="0" w:color="548235"/>
          <w:insideH w:val="single" w:sz="8" w:space="0" w:color="548235"/>
          <w:insideV w:val="single" w:sz="8" w:space="0" w:color="548235"/>
        </w:tblBorders>
      </w:tblPr>
      <w:tblGrid>
        <w:gridCol w:w="9659"/>
      </w:tblGrid>
      <w:tr>
        <w:tc>
          <w:tcPr>
            <w:tcW w:type="dxa" w:w="9360"/>
            <w:shd w:fill="E2F0D9"/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60"/>
            </w:pPr>
            <w:r>
              <w:rPr>
                <w:rFonts w:ascii="Arial" w:hAnsi="Arial" w:eastAsia="Noto Sans CJK SC"/>
                <w:b/>
                <w:color w:val="548235"/>
                <w:sz w:val="21"/>
              </w:rPr>
              <w:t>最终建议：有条件推进｜中高风险、较高潜力</w:t>
            </w:r>
          </w:p>
          <w:p>
            <w:pPr>
              <w:spacing w:after="0"/>
            </w:pPr>
            <w:r>
              <w:rPr>
                <w:rFonts w:ascii="Arial" w:hAnsi="Arial" w:eastAsia="Noto Sans CJK SC"/>
                <w:color w:val="1F1F1F"/>
                <w:sz w:val="21"/>
              </w:rPr>
              <w:t>影目不是仅有概念的早期团队：其已经历多代产品、多轮融资、区域总部迁移、光学产线建设和真实场景落地；这构成值得继续尽调的基础。但公开信息无法证明其已形成稳定、可复制、现金流为正的规模化商业模式。投资或合作价值应以“真实激活与留存、型号级贡献毛利、供应链韧性、IP和数据合规”四组证据重新定价。</w:t>
            </w:r>
          </w:p>
        </w:tc>
      </w:tr>
    </w:tbl>
    <w:p>
      <w:pPr>
        <w:spacing w:after="0"/>
      </w:pPr>
    </w:p>
    <w:p>
      <w:r>
        <w:rPr>
          <w:rFonts w:ascii="Arial" w:hAnsi="Arial" w:eastAsia="Noto Sans CJK SC"/>
          <w:color w:val="1F1F1F"/>
          <w:sz w:val="21"/>
        </w:rPr>
        <w:t>若P0材料与管理层口径一致，且337和解可控、GO翻译/提词形成高频留存、AIR路线功耗体验持续改善、无锡产线达到经济良率，公司有机会在中国一体式AI/AR眼镜细分保持重要位置。若核心数据无法闭环，则应把公司视为依赖融资与新品迭代的消费电子项目，而非已验证的平台型入口。</w:t>
      </w:r>
    </w:p>
    <w:p>
      <w:r>
        <w:rPr>
          <w:rFonts w:ascii="Arial" w:hAnsi="Arial" w:eastAsia="Noto Sans CJK SC"/>
          <w:color w:val="1F1F1F"/>
          <w:sz w:val="21"/>
        </w:rPr>
        <w:t>推荐决策节奏：先数据室和技术/供应链/隐私专项，再小规模实证，最后扩大资本或商业敞口。</w:t>
      </w:r>
    </w:p>
    <w:p>
      <w:r>
        <w:br w:type="page"/>
      </w:r>
    </w:p>
    <w:p>
      <w:pPr>
        <w:pStyle w:val="Heading1"/>
      </w:pPr>
      <w:r>
        <w:t>附录A｜公开来源索引</w:t>
      </w:r>
    </w:p>
    <w:p>
      <w:r>
        <w:rPr>
          <w:rFonts w:ascii="Arial" w:hAnsi="Arial" w:eastAsia="Noto Sans CJK SC"/>
          <w:color w:val="1F1F1F"/>
          <w:sz w:val="21"/>
        </w:rPr>
        <w:t>所有链接最后访问日：2026年8月11日。来源索引用于复核正文标记[Sxx]；链接内容可能随后更新或下线。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[S01] </w:t>
      </w:r>
      <w:hyperlink r:id="rId9">
        <w:r>
          <w:rPr>
            <w:color w:val="2E74B5"/>
            <w:u w:val="single"/>
            <w:rFonts w:ascii="Arial" w:hAnsi="Arial" w:eastAsia="Noto Sans CJK SC"/>
          </w:rPr>
          <w:t>企业基本信息页：四川影目科技有限公司</w:t>
        </w:r>
      </w:hyperlink>
      <w:r>
        <w:rPr>
          <w:rFonts w:ascii="Arial" w:hAnsi="Arial" w:eastAsia="Noto Sans CJK SC"/>
          <w:color w:val="666666"/>
          <w:sz w:val="17"/>
        </w:rPr>
        <w:t>｜水滴信用（商业信息平台）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支持事项：注册资本、法定代表人、注册地址、经营范围、参保人数等基础线索；应以最新工商档案复核。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https://shuidi.cn/company-c79b107228dd57543e1ab28313cf4e01.html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[S02] </w:t>
      </w:r>
      <w:hyperlink r:id="rId10">
        <w:r>
          <w:rPr>
            <w:color w:val="2E74B5"/>
            <w:u w:val="single"/>
            <w:rFonts w:ascii="Arial" w:hAnsi="Arial" w:eastAsia="Noto Sans CJK SC"/>
          </w:rPr>
          <w:t>影目科技完成近亿元B轮融资</w:t>
        </w:r>
      </w:hyperlink>
      <w:r>
        <w:rPr>
          <w:rFonts w:ascii="Arial" w:hAnsi="Arial" w:eastAsia="Noto Sans CJK SC"/>
          <w:color w:val="666666"/>
          <w:sz w:val="17"/>
        </w:rPr>
        <w:t>｜四川省数字经济发展基金（官方）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支持事项：B轮投资方、总部落地成都及主体更名背景。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https://scfzfund.sdholding.com/news/company/611714627649605.html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[S03] </w:t>
      </w:r>
      <w:hyperlink r:id="rId11">
        <w:r>
          <w:rPr>
            <w:color w:val="2E74B5"/>
            <w:u w:val="single"/>
            <w:rFonts w:ascii="Arial" w:hAnsi="Arial" w:eastAsia="Noto Sans CJK SC"/>
          </w:rPr>
          <w:t>原酷派AR及智能穿戴业务独立运营</w:t>
        </w:r>
      </w:hyperlink>
      <w:r>
        <w:rPr>
          <w:rFonts w:ascii="Arial" w:hAnsi="Arial" w:eastAsia="Noto Sans CJK SC"/>
          <w:color w:val="666666"/>
          <w:sz w:val="17"/>
        </w:rPr>
        <w:t>｜36氪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支持事项：公司业务起源与杨龙昇担任CEO。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https://www.36kr.com/newsflashes/1045859687727236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[S04] </w:t>
      </w:r>
      <w:hyperlink r:id="rId12">
        <w:r>
          <w:rPr>
            <w:color w:val="2E74B5"/>
            <w:u w:val="single"/>
            <w:rFonts w:ascii="Arial" w:hAnsi="Arial" w:eastAsia="Noto Sans CJK SC"/>
          </w:rPr>
          <w:t>专访影目科技：从酷派拆分后的创业路径</w:t>
        </w:r>
      </w:hyperlink>
      <w:r>
        <w:rPr>
          <w:rFonts w:ascii="Arial" w:hAnsi="Arial" w:eastAsia="Noto Sans CJK SC"/>
          <w:color w:val="666666"/>
          <w:sz w:val="17"/>
        </w:rPr>
        <w:t>｜ARinChina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支持事项：团队来源、早期研发占比、知识产权买断及与酷派关系的管理层口径。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https://www.arinchina.com/11509.html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[S05] </w:t>
      </w:r>
      <w:hyperlink r:id="rId13">
        <w:r>
          <w:rPr>
            <w:color w:val="2E74B5"/>
            <w:u w:val="single"/>
            <w:rFonts w:ascii="Arial" w:hAnsi="Arial" w:eastAsia="Noto Sans CJK SC"/>
          </w:rPr>
          <w:t>影目科技创始人杨龙昇：AR眼镜创业与商业化</w:t>
        </w:r>
      </w:hyperlink>
      <w:r>
        <w:rPr>
          <w:rFonts w:ascii="Arial" w:hAnsi="Arial" w:eastAsia="Noto Sans CJK SC"/>
          <w:color w:val="666666"/>
          <w:sz w:val="17"/>
        </w:rPr>
        <w:t>｜界面新闻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支持事项：创始人履历、人员规模、销量/订单/营收/盈亏目标及产品路线；多为管理层口径。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https://www.jiemian.com/article/13071627.html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[S06] </w:t>
      </w:r>
      <w:hyperlink r:id="rId14">
        <w:r>
          <w:rPr>
            <w:color w:val="2E74B5"/>
            <w:u w:val="single"/>
            <w:rFonts w:ascii="Arial" w:hAnsi="Arial" w:eastAsia="Noto Sans CJK SC"/>
          </w:rPr>
          <w:t>影目科技在成都构建上下游合作生态</w:t>
        </w:r>
      </w:hyperlink>
      <w:r>
        <w:rPr>
          <w:rFonts w:ascii="Arial" w:hAnsi="Arial" w:eastAsia="Noto Sans CJK SC"/>
          <w:color w:val="666666"/>
          <w:sz w:val="17"/>
        </w:rPr>
        <w:t>｜人民网四川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支持事项：创始人身份、成都产业协同。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https://sc.people.com.cn/n2/2025/0318/c345167-41167412.html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[S07] </w:t>
      </w:r>
      <w:hyperlink r:id="rId15">
        <w:r>
          <w:rPr>
            <w:color w:val="2E74B5"/>
            <w:u w:val="single"/>
            <w:rFonts w:ascii="Arial" w:hAnsi="Arial" w:eastAsia="Noto Sans CJK SC"/>
          </w:rPr>
          <w:t>影目科技联合创始人兼CMO吕一飞谈AI眼镜</w:t>
        </w:r>
      </w:hyperlink>
      <w:r>
        <w:rPr>
          <w:rFonts w:ascii="Arial" w:hAnsi="Arial" w:eastAsia="Noto Sans CJK SC"/>
          <w:color w:val="666666"/>
          <w:sz w:val="17"/>
        </w:rPr>
        <w:t>｜凤凰网科技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支持事项：吕一飞公开职务及市场观点。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https://tech.ifeng.com/c/8IxFbGUfxll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[S08] </w:t>
      </w:r>
      <w:hyperlink r:id="rId16">
        <w:r>
          <w:rPr>
            <w:color w:val="2E74B5"/>
            <w:u w:val="single"/>
            <w:rFonts w:ascii="Arial" w:hAnsi="Arial" w:eastAsia="Noto Sans CJK SC"/>
          </w:rPr>
          <w:t>清华MEM校友张星智介绍</w:t>
        </w:r>
      </w:hyperlink>
      <w:r>
        <w:rPr>
          <w:rFonts w:ascii="Arial" w:hAnsi="Arial" w:eastAsia="Noto Sans CJK SC"/>
          <w:color w:val="666666"/>
          <w:sz w:val="17"/>
        </w:rPr>
        <w:t>｜清华大学工程管理硕士教育中心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支持事项：张星智教育及职业履历、影目技术合伙人/政企业务负责人身份。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https://www.imem.tsinghua.edu.cn/info/1201/3601.htm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[S09] </w:t>
      </w:r>
      <w:hyperlink r:id="rId17">
        <w:r>
          <w:rPr>
            <w:color w:val="2E74B5"/>
            <w:u w:val="single"/>
            <w:rFonts w:ascii="Arial" w:hAnsi="Arial" w:eastAsia="Noto Sans CJK SC"/>
          </w:rPr>
          <w:t>四川影目科技融资历程</w:t>
        </w:r>
      </w:hyperlink>
      <w:r>
        <w:rPr>
          <w:rFonts w:ascii="Arial" w:hAnsi="Arial" w:eastAsia="Noto Sans CJK SC"/>
          <w:color w:val="666666"/>
          <w:sz w:val="17"/>
        </w:rPr>
        <w:t>｜投资界数据库（清科）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支持事项：天使至C1轮融资时间、金额区间和投资方汇总。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https://vc.pedaily.cn/company/180750.html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[S10] </w:t>
      </w:r>
      <w:hyperlink r:id="rId18">
        <w:r>
          <w:rPr>
            <w:color w:val="2E74B5"/>
            <w:u w:val="single"/>
            <w:rFonts w:ascii="Arial" w:hAnsi="Arial" w:eastAsia="Noto Sans CJK SC"/>
          </w:rPr>
          <w:t>影目科技C1轮融资，2025年以来融资近5亿元</w:t>
        </w:r>
      </w:hyperlink>
      <w:r>
        <w:rPr>
          <w:rFonts w:ascii="Arial" w:hAnsi="Arial" w:eastAsia="Noto Sans CJK SC"/>
          <w:color w:val="666666"/>
          <w:sz w:val="17"/>
        </w:rPr>
        <w:t>｜证券时报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支持事项：C1轮及近三轮合计融资口径。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https://www.stcn.com/article/detail/3594356.html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[S11] </w:t>
      </w:r>
      <w:hyperlink r:id="rId19">
        <w:r>
          <w:rPr>
            <w:color w:val="2E74B5"/>
            <w:u w:val="single"/>
            <w:rFonts w:ascii="Arial" w:hAnsi="Arial" w:eastAsia="Noto Sans CJK SC"/>
          </w:rPr>
          <w:t>无锡首条阵列光波导AI眼镜量产线投产</w:t>
        </w:r>
      </w:hyperlink>
      <w:r>
        <w:rPr>
          <w:rFonts w:ascii="Arial" w:hAnsi="Arial" w:eastAsia="Noto Sans CJK SC"/>
          <w:color w:val="666666"/>
          <w:sz w:val="17"/>
        </w:rPr>
        <w:t>｜中国新闻网江苏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支持事项：无锡合资公司、产线定位与10万副年产能口径。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https://www.js.chinanews.com.cn/news/2025/1226/231691.html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[S12] </w:t>
      </w:r>
      <w:hyperlink r:id="rId20">
        <w:r>
          <w:rPr>
            <w:color w:val="2E74B5"/>
            <w:u w:val="single"/>
            <w:rFonts w:ascii="Arial" w:hAnsi="Arial" w:eastAsia="Noto Sans CJK SC"/>
          </w:rPr>
          <w:t>无锡市影目显示科技有限公司固定污染源登记</w:t>
        </w:r>
      </w:hyperlink>
      <w:r>
        <w:rPr>
          <w:rFonts w:ascii="Arial" w:hAnsi="Arial" w:eastAsia="Noto Sans CJK SC"/>
          <w:color w:val="666666"/>
          <w:sz w:val="17"/>
        </w:rPr>
        <w:t>｜生态环境部全国排污许可证管理信息平台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支持事项：无锡经营地址及登记时间。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https://permit.mee.gov.cn/register/library/registerShow.vm?enterid=855ff78e-d0bc-4367-b2c5-7417c82fc9ca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[S13] </w:t>
      </w:r>
      <w:hyperlink r:id="rId21">
        <w:r>
          <w:rPr>
            <w:color w:val="2E74B5"/>
            <w:u w:val="single"/>
            <w:rFonts w:ascii="Arial" w:hAnsi="Arial" w:eastAsia="Noto Sans CJK SC"/>
          </w:rPr>
          <w:t>イノモ日本株式会社法人信息</w:t>
        </w:r>
      </w:hyperlink>
      <w:r>
        <w:rPr>
          <w:rFonts w:ascii="Arial" w:hAnsi="Arial" w:eastAsia="Noto Sans CJK SC"/>
          <w:color w:val="666666"/>
          <w:sz w:val="17"/>
        </w:rPr>
        <w:t>｜日本法人番号公示相关数据库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支持事项：日本品牌运营主体设立和地址线索；股权关系仍需核验。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https://founded-today.com/2026/1010001265714/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[S14] </w:t>
      </w:r>
      <w:hyperlink r:id="rId22">
        <w:r>
          <w:rPr>
            <w:color w:val="2E74B5"/>
            <w:u w:val="single"/>
            <w:rFonts w:ascii="Arial" w:hAnsi="Arial" w:eastAsia="Noto Sans CJK SC"/>
          </w:rPr>
          <w:t>AIR3产品与AR产业研究</w:t>
        </w:r>
      </w:hyperlink>
      <w:r>
        <w:rPr>
          <w:rFonts w:ascii="Arial" w:hAnsi="Arial" w:eastAsia="Noto Sans CJK SC"/>
          <w:color w:val="666666"/>
          <w:sz w:val="17"/>
        </w:rPr>
        <w:t>｜华金证券研究报告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支持事项：AIR3显示、处理器、FOV、PPD等参数及行业技术路线。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https://pdf.dfcfw.com/pdf/H3_AP202412021641148484_1.pdf?1733173860000.pdf=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[S15] </w:t>
      </w:r>
      <w:hyperlink r:id="rId23">
        <w:r>
          <w:rPr>
            <w:color w:val="2E74B5"/>
            <w:u w:val="single"/>
            <w:rFonts w:ascii="Arial" w:hAnsi="Arial" w:eastAsia="Noto Sans CJK SC"/>
          </w:rPr>
          <w:t>JBD蜂鸟Mini II用于INMO GO2</w:t>
        </w:r>
      </w:hyperlink>
      <w:r>
        <w:rPr>
          <w:rFonts w:ascii="Arial" w:hAnsi="Arial" w:eastAsia="Noto Sans CJK SC"/>
          <w:color w:val="666666"/>
          <w:sz w:val="17"/>
        </w:rPr>
        <w:t>｜上海显耀显示科技（JBD，供应商官方）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支持事项：GO2微显示器供货关系及产品参数。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https://www.jb-display.com.cn/newsdetails/52.html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[S16] </w:t>
      </w:r>
      <w:hyperlink r:id="rId24">
        <w:r>
          <w:rPr>
            <w:color w:val="2E74B5"/>
            <w:u w:val="single"/>
            <w:rFonts w:ascii="Arial" w:hAnsi="Arial" w:eastAsia="Noto Sans CJK SC"/>
          </w:rPr>
          <w:t>INMO GO3发布：可换电与翻译功能</w:t>
        </w:r>
      </w:hyperlink>
      <w:r>
        <w:rPr>
          <w:rFonts w:ascii="Arial" w:hAnsi="Arial" w:eastAsia="Noto Sans CJK SC"/>
          <w:color w:val="666666"/>
          <w:sz w:val="17"/>
        </w:rPr>
        <w:t>｜IT之家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支持事项：GO3价格、重量、芯片、显示、电池和翻译参数。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https://www.ithome.com/0/890/218.htm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[S17] </w:t>
      </w:r>
      <w:hyperlink r:id="rId25">
        <w:r>
          <w:rPr>
            <w:color w:val="2E74B5"/>
            <w:u w:val="single"/>
            <w:rFonts w:ascii="Arial" w:hAnsi="Arial" w:eastAsia="Noto Sans CJK SC"/>
          </w:rPr>
          <w:t>影目科技与腾讯应用宝深度适配</w:t>
        </w:r>
      </w:hyperlink>
      <w:r>
        <w:rPr>
          <w:rFonts w:ascii="Arial" w:hAnsi="Arial" w:eastAsia="Noto Sans CJK SC"/>
          <w:color w:val="666666"/>
          <w:sz w:val="17"/>
        </w:rPr>
        <w:t>｜界面新闻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支持事项：应用生态合作关系。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https://www.jiemian.com/article/12830040.html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[S18] </w:t>
      </w:r>
      <w:hyperlink r:id="rId26">
        <w:r>
          <w:rPr>
            <w:color w:val="2E74B5"/>
            <w:u w:val="single"/>
            <w:rFonts w:ascii="Arial" w:hAnsi="Arial" w:eastAsia="Noto Sans CJK SC"/>
          </w:rPr>
          <w:t>影目AI眼镜生态伙伴发布</w:t>
        </w:r>
      </w:hyperlink>
      <w:r>
        <w:rPr>
          <w:rFonts w:ascii="Arial" w:hAnsi="Arial" w:eastAsia="Noto Sans CJK SC"/>
          <w:color w:val="666666"/>
          <w:sz w:val="17"/>
        </w:rPr>
        <w:t>｜凤凰网科技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支持事项：中国移动、蚂蚁、腾讯、高德、智谱、芒果等合作伙伴口径。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https://tech.ifeng.com/c/8nVPS7rlpcy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[S19] </w:t>
      </w:r>
      <w:hyperlink r:id="rId27">
        <w:r>
          <w:rPr>
            <w:color w:val="2E74B5"/>
            <w:u w:val="single"/>
            <w:rFonts w:ascii="Arial" w:hAnsi="Arial" w:eastAsia="Noto Sans CJK SC"/>
          </w:rPr>
          <w:t>影目AI眼镜服务成都世运会</w:t>
        </w:r>
      </w:hyperlink>
      <w:r>
        <w:rPr>
          <w:rFonts w:ascii="Arial" w:hAnsi="Arial" w:eastAsia="Noto Sans CJK SC"/>
          <w:color w:val="666666"/>
          <w:sz w:val="17"/>
        </w:rPr>
        <w:t>｜人民网四川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支持事项：世运会翻译眼镜场景及张星智职务。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https://sc.people.com.cn/n2/2025/0610/c345167-41254684.html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[S20] </w:t>
      </w:r>
      <w:hyperlink r:id="rId28">
        <w:r>
          <w:rPr>
            <w:color w:val="2E74B5"/>
            <w:u w:val="single"/>
            <w:rFonts w:ascii="Arial" w:hAnsi="Arial" w:eastAsia="Noto Sans CJK SC"/>
          </w:rPr>
          <w:t>成都大熊猫基地AI眼镜导览</w:t>
        </w:r>
      </w:hyperlink>
      <w:r>
        <w:rPr>
          <w:rFonts w:ascii="Arial" w:hAnsi="Arial" w:eastAsia="Noto Sans CJK SC"/>
          <w:color w:val="666666"/>
          <w:sz w:val="17"/>
        </w:rPr>
        <w:t>｜成都日报锦观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支持事项：文旅导览落地案例及智谱模型协同。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https://news.chengdu.cn/2026/0206/6985eeb90e672f46cb3a592f.shtml?phone=yes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[S21] </w:t>
      </w:r>
      <w:hyperlink r:id="rId29">
        <w:r>
          <w:rPr>
            <w:color w:val="2E74B5"/>
            <w:u w:val="single"/>
            <w:rFonts w:ascii="Arial" w:hAnsi="Arial" w:eastAsia="Noto Sans CJK SC"/>
          </w:rPr>
          <w:t>影目B3轮融资与“一镜游洛阳”</w:t>
        </w:r>
      </w:hyperlink>
      <w:r>
        <w:rPr>
          <w:rFonts w:ascii="Arial" w:hAnsi="Arial" w:eastAsia="Noto Sans CJK SC"/>
          <w:color w:val="666666"/>
          <w:sz w:val="17"/>
        </w:rPr>
        <w:t>｜VR陀螺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支持事项：源铄基金投资及洛阳文旅合作。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https://www.vrtuoluo.cn/543375.html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[S22] </w:t>
      </w:r>
      <w:hyperlink r:id="rId30">
        <w:r>
          <w:rPr>
            <w:color w:val="2E74B5"/>
            <w:u w:val="single"/>
            <w:rFonts w:ascii="Arial" w:hAnsi="Arial" w:eastAsia="Noto Sans CJK SC"/>
          </w:rPr>
          <w:t>2025年中国智能眼镜市场增长87.1%</w:t>
        </w:r>
      </w:hyperlink>
      <w:r>
        <w:rPr>
          <w:rFonts w:ascii="Arial" w:hAnsi="Arial" w:eastAsia="Noto Sans CJK SC"/>
          <w:color w:val="666666"/>
          <w:sz w:val="17"/>
        </w:rPr>
        <w:t>｜IDC中国（官方博客）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支持事项：全球/中国出货量、增速及中国AR/VR品牌格局。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https://www.idc.com/resource-center/blog/2025%E5%B9%B4%E4%B8%AD%E5%9B%BD%E6%99%BA%E8%83%BD%E7%9C%BC%E9%95%9C%E5%B8%82%E5%9C%BA%E5%90%8C%E6%AF%94%E5%A2%9E%E9%95%BF87-1%EF%BC%8C%E8%A1%8C%E4%B8%9A%E4%BB%8E%E7%A1%AC%E4%BB%B6%E9%93%BA%E9%99%88/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[S23] </w:t>
      </w:r>
      <w:hyperlink r:id="rId31">
        <w:r>
          <w:rPr>
            <w:color w:val="2E74B5"/>
            <w:u w:val="single"/>
            <w:rFonts w:ascii="Arial" w:hAnsi="Arial" w:eastAsia="Noto Sans CJK SC"/>
          </w:rPr>
          <w:t>Smart Glasses Surge: XR Market Forecast</w:t>
        </w:r>
      </w:hyperlink>
      <w:r>
        <w:rPr>
          <w:rFonts w:ascii="Arial" w:hAnsi="Arial" w:eastAsia="Noto Sans CJK SC"/>
          <w:color w:val="666666"/>
          <w:sz w:val="17"/>
        </w:rPr>
        <w:t>｜IDC（官方）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支持事项：显示型智能眼镜2026—2030年预测及CAGR。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https://www.idc.com/resource-center/blog/smart-glasses-surge-the-xr-market-is-rewriting-its-own-rules/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[S24] </w:t>
      </w:r>
      <w:hyperlink r:id="rId32">
        <w:r>
          <w:rPr>
            <w:color w:val="2E74B5"/>
            <w:u w:val="single"/>
            <w:rFonts w:ascii="Arial" w:hAnsi="Arial" w:eastAsia="Noto Sans CJK SC"/>
          </w:rPr>
          <w:t>2026年一季度全球智能头戴设备市场</w:t>
        </w:r>
      </w:hyperlink>
      <w:r>
        <w:rPr>
          <w:rFonts w:ascii="Arial" w:hAnsi="Arial" w:eastAsia="Noto Sans CJK SC"/>
          <w:color w:val="666666"/>
          <w:sz w:val="17"/>
        </w:rPr>
        <w:t>｜Counterpoint Research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支持事项：全球品牌和光学路线竞争格局。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https://china.counterpointresearch.com/2026-%E5%B9%B4%E7%AC%AC%E4%B8%80%E5%AD%A3%E5%BA%A6%E5%85%A8%E7%90%83%E6%99%BA%E8%83%BD%E5%A4%B4%E6%88%B4%E8%AE%BE%E5%A4%87%E5%B8%82%E5%9C%BA%E5%90%8C%E6%AF%94%E5%A2%9E%E9%95%BF%E7%99%BE%E5%88%86/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[S25] </w:t>
      </w:r>
      <w:hyperlink r:id="rId33">
        <w:r>
          <w:rPr>
            <w:color w:val="2E74B5"/>
            <w:u w:val="single"/>
            <w:rFonts w:ascii="Arial" w:hAnsi="Arial" w:eastAsia="Noto Sans CJK SC"/>
          </w:rPr>
          <w:t>2025年中国智能眼镜线上市场格局</w:t>
        </w:r>
      </w:hyperlink>
      <w:r>
        <w:rPr>
          <w:rFonts w:ascii="Arial" w:hAnsi="Arial" w:eastAsia="Noto Sans CJK SC"/>
          <w:color w:val="666666"/>
          <w:sz w:val="17"/>
        </w:rPr>
        <w:t>｜RUNTO/产业报道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支持事项：AR与拍摄类眼镜的线上竞争结构。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https://www.xcc.com/news/detail/5574298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[S26] </w:t>
      </w:r>
      <w:hyperlink r:id="rId34">
        <w:r>
          <w:rPr>
            <w:color w:val="2E74B5"/>
            <w:u w:val="single"/>
            <w:rFonts w:ascii="Arial" w:hAnsi="Arial" w:eastAsia="Noto Sans CJK SC"/>
          </w:rPr>
          <w:t>虚拟现实与行业应用融合发展行动计划（2022—2026年）</w:t>
        </w:r>
      </w:hyperlink>
      <w:r>
        <w:rPr>
          <w:rFonts w:ascii="Arial" w:hAnsi="Arial" w:eastAsia="Noto Sans CJK SC"/>
          <w:color w:val="666666"/>
          <w:sz w:val="17"/>
        </w:rPr>
        <w:t>｜工业和信息化部等五部门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支持事项：近眼显示、交互、内容、行业应用与安全等国家产业政策。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https://www.miit.gov.cn/zwgk/zcwj/wjfb/tz/art/2022/art_775aaa3f77264817a5b41421a8b2ce22.html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[S27] </w:t>
      </w:r>
      <w:hyperlink r:id="rId35">
        <w:r>
          <w:rPr>
            <w:color w:val="2E74B5"/>
            <w:u w:val="single"/>
            <w:rFonts w:ascii="Arial" w:hAnsi="Arial" w:eastAsia="Noto Sans CJK SC"/>
          </w:rPr>
          <w:t>关于深入实施“人工智能+”行动的意见</w:t>
        </w:r>
      </w:hyperlink>
      <w:r>
        <w:rPr>
          <w:rFonts w:ascii="Arial" w:hAnsi="Arial" w:eastAsia="Noto Sans CJK SC"/>
          <w:color w:val="666666"/>
          <w:sz w:val="17"/>
        </w:rPr>
        <w:t>｜国务院/中国网信网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支持事项：智能终端、智能穿戴和渗透率目标。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https://www.cac.gov.cn/2025-08/27/c_1758018277755538.htm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[S28] </w:t>
      </w:r>
      <w:hyperlink r:id="rId36">
        <w:r>
          <w:rPr>
            <w:color w:val="2E74B5"/>
            <w:u w:val="single"/>
            <w:rFonts w:ascii="Arial" w:hAnsi="Arial" w:eastAsia="Noto Sans CJK SC"/>
          </w:rPr>
          <w:t>人工智能终端智能化分级 第6部分：眼镜（计划）</w:t>
        </w:r>
      </w:hyperlink>
      <w:r>
        <w:rPr>
          <w:rFonts w:ascii="Arial" w:hAnsi="Arial" w:eastAsia="Noto Sans CJK SC"/>
          <w:color w:val="666666"/>
          <w:sz w:val="17"/>
        </w:rPr>
        <w:t>｜全国标准信息公共服务平台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支持事项：AI眼镜智能化分级标准计划和参与主体。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https://std.samr.gov.cn/gb/search/gbDetailed?id=36E4AC7A37849E69E06397BE0A0A49AD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[S29] </w:t>
      </w:r>
      <w:hyperlink r:id="rId37">
        <w:r>
          <w:rPr>
            <w:color w:val="2E74B5"/>
            <w:u w:val="single"/>
            <w:rFonts w:ascii="Arial" w:hAnsi="Arial" w:eastAsia="Noto Sans CJK SC"/>
          </w:rPr>
          <w:t>USITC启动电子眼镜337调查（337-TA-1455）</w:t>
        </w:r>
      </w:hyperlink>
      <w:r>
        <w:rPr>
          <w:rFonts w:ascii="Arial" w:hAnsi="Arial" w:eastAsia="Noto Sans CJK SC"/>
          <w:color w:val="666666"/>
          <w:sz w:val="17"/>
        </w:rPr>
        <w:t>｜美国国际贸易委员会（USITC）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支持事项：调查启动、涉案专利和被申请人。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https://www.usitc.gov/press_room/news_release/2025/er0708_67283.htm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[S30] </w:t>
      </w:r>
      <w:hyperlink r:id="rId38">
        <w:r>
          <w:rPr>
            <w:color w:val="2E74B5"/>
            <w:u w:val="single"/>
            <w:rFonts w:ascii="Arial" w:hAnsi="Arial" w:eastAsia="Noto Sans CJK SC"/>
          </w:rPr>
          <w:t>USITC基于和解终止对INMO的调查</w:t>
        </w:r>
      </w:hyperlink>
      <w:r>
        <w:rPr>
          <w:rFonts w:ascii="Arial" w:hAnsi="Arial" w:eastAsia="Noto Sans CJK SC"/>
          <w:color w:val="666666"/>
          <w:sz w:val="17"/>
        </w:rPr>
        <w:t>｜美国国际贸易委员会/联邦公报通知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支持事项：2025年12月对INMO的调查因和解终止，并非实体侵权裁决。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https://www.usitc.gov/sites/default/files/secretary/fed_reg_notices/337/337_1455_notice12192025sgl.pdf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[S31] </w:t>
      </w:r>
      <w:hyperlink r:id="rId39">
        <w:r>
          <w:rPr>
            <w:color w:val="2E74B5"/>
            <w:u w:val="single"/>
            <w:rFonts w:ascii="Arial" w:hAnsi="Arial" w:eastAsia="Noto Sans CJK SC"/>
          </w:rPr>
          <w:t>劳动人事争议仲裁开庭公告（深南劳人仲案〔2024〕6956号）</w:t>
        </w:r>
      </w:hyperlink>
      <w:r>
        <w:rPr>
          <w:rFonts w:ascii="Arial" w:hAnsi="Arial" w:eastAsia="Noto Sans CJK SC"/>
          <w:color w:val="666666"/>
          <w:sz w:val="17"/>
        </w:rPr>
        <w:t>｜深圳市南山区人力资源局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支持事项：一宗劳动争议的请求事项和开庭公告；未发现公开裁决结果。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https://www.szns.gov.cn/nsqrzj/gkmlpt/content/11/11605/post_11605182.html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[S32] </w:t>
      </w:r>
      <w:hyperlink r:id="rId40">
        <w:r>
          <w:rPr>
            <w:color w:val="2E74B5"/>
            <w:u w:val="single"/>
            <w:rFonts w:ascii="Arial" w:hAnsi="Arial" w:eastAsia="Noto Sans CJK SC"/>
          </w:rPr>
          <w:t>INMO中文隐私政策（2023年4月版）</w:t>
        </w:r>
      </w:hyperlink>
      <w:r>
        <w:rPr>
          <w:rFonts w:ascii="Arial" w:hAnsi="Arial" w:eastAsia="Noto Sans CJK SC"/>
          <w:color w:val="666666"/>
          <w:sz w:val="17"/>
        </w:rPr>
        <w:t>｜INMO官方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支持事项：国内产品收集信息、共享、存储、模型训练、跨境及个人权利条款。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https://im-protocol.inmolens.com/protocol/phone/privacy/zh_CN.html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[S33] </w:t>
      </w:r>
      <w:hyperlink r:id="rId41">
        <w:r>
          <w:rPr>
            <w:color w:val="2E74B5"/>
            <w:u w:val="single"/>
            <w:rFonts w:ascii="Arial" w:hAnsi="Arial" w:eastAsia="Noto Sans CJK SC"/>
          </w:rPr>
          <w:t>INMO全球站隐私政策</w:t>
        </w:r>
      </w:hyperlink>
      <w:r>
        <w:rPr>
          <w:rFonts w:ascii="Arial" w:hAnsi="Arial" w:eastAsia="Noto Sans CJK SC"/>
          <w:color w:val="666666"/>
          <w:sz w:val="17"/>
        </w:rPr>
        <w:t>｜INMO官方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支持事项：海外网站及产品的数据处理规则。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https://www.inmoxr.com/policies/privacy-policy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[S34] </w:t>
      </w:r>
      <w:hyperlink r:id="rId42">
        <w:r>
          <w:rPr>
            <w:color w:val="2E74B5"/>
            <w:u w:val="single"/>
            <w:rFonts w:ascii="Arial" w:hAnsi="Arial" w:eastAsia="Noto Sans CJK SC"/>
          </w:rPr>
          <w:t>人脸识别技术应用安全管理办法</w:t>
        </w:r>
      </w:hyperlink>
      <w:r>
        <w:rPr>
          <w:rFonts w:ascii="Arial" w:hAnsi="Arial" w:eastAsia="Noto Sans CJK SC"/>
          <w:color w:val="666666"/>
          <w:sz w:val="17"/>
        </w:rPr>
        <w:t>｜国家网信办、公安部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支持事项：2025年6月起生效的人脸信息告知、必要性、影响评估、存储及备案要求。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https://www.cac.gov.cn/2025-03/21/c_1744174262156096.htm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[S35] </w:t>
      </w:r>
      <w:hyperlink r:id="rId43">
        <w:r>
          <w:rPr>
            <w:color w:val="2E74B5"/>
            <w:u w:val="single"/>
            <w:rFonts w:ascii="Arial" w:hAnsi="Arial" w:eastAsia="Noto Sans CJK SC"/>
          </w:rPr>
          <w:t>AI眼镜创业公司商业化与渠道观察</w:t>
        </w:r>
      </w:hyperlink>
      <w:r>
        <w:rPr>
          <w:rFonts w:ascii="Arial" w:hAnsi="Arial" w:eastAsia="Noto Sans CJK SC"/>
          <w:color w:val="666666"/>
          <w:sz w:val="17"/>
        </w:rPr>
        <w:t>｜36氪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支持事项：估值、渠道铺设、体验和行业退货等调查性口径；需二次验证。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https://www.36kr.com/p/3835921590433161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[S36] </w:t>
      </w:r>
      <w:hyperlink r:id="rId44">
        <w:r>
          <w:rPr>
            <w:color w:val="2E74B5"/>
            <w:u w:val="single"/>
            <w:rFonts w:ascii="Arial" w:hAnsi="Arial" w:eastAsia="Noto Sans CJK SC"/>
          </w:rPr>
          <w:t>影目科技股东及知识产权平台数据</w:t>
        </w:r>
      </w:hyperlink>
      <w:r>
        <w:rPr>
          <w:rFonts w:ascii="Arial" w:hAnsi="Arial" w:eastAsia="Noto Sans CJK SC"/>
          <w:color w:val="666666"/>
          <w:sz w:val="17"/>
        </w:rPr>
        <w:t>｜搜狐科技（援引天眼查）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支持事项：股东名称、对外投资数量、专利和商标数量线索。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https://www.sohu.com/a/976302682_114984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[S37] </w:t>
      </w:r>
      <w:hyperlink r:id="rId45">
        <w:r>
          <w:rPr>
            <w:color w:val="2E74B5"/>
            <w:u w:val="single"/>
            <w:rFonts w:ascii="Arial" w:hAnsi="Arial" w:eastAsia="Noto Sans CJK SC"/>
          </w:rPr>
          <w:t>INMO AIR3产品页</w:t>
        </w:r>
      </w:hyperlink>
      <w:r>
        <w:rPr>
          <w:rFonts w:ascii="Arial" w:hAnsi="Arial" w:eastAsia="Noto Sans CJK SC"/>
          <w:color w:val="666666"/>
          <w:sz w:val="17"/>
        </w:rPr>
        <w:t>｜INMO全球官网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支持事项：官方定位、功能和产品参数。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https://www.inmoxr.com/pages/inmo-air3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[S38] </w:t>
      </w:r>
      <w:hyperlink r:id="rId46">
        <w:r>
          <w:rPr>
            <w:color w:val="2E74B5"/>
            <w:u w:val="single"/>
            <w:rFonts w:ascii="Arial" w:hAnsi="Arial" w:eastAsia="Noto Sans CJK SC"/>
          </w:rPr>
          <w:t>影目完成超1.5亿元B2轮融资</w:t>
        </w:r>
      </w:hyperlink>
      <w:r>
        <w:rPr>
          <w:rFonts w:ascii="Arial" w:hAnsi="Arial" w:eastAsia="Noto Sans CJK SC"/>
          <w:color w:val="666666"/>
          <w:sz w:val="17"/>
        </w:rPr>
        <w:t>｜深圳湾（产业媒体）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支持事项：B2投资方、资金用途和中国移动合作。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https://www.shenzhenware.com/news/2508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[S39] </w:t>
      </w:r>
      <w:hyperlink r:id="rId47">
        <w:r>
          <w:rPr>
            <w:color w:val="2E74B5"/>
            <w:u w:val="single"/>
            <w:rFonts w:ascii="Arial" w:hAnsi="Arial" w:eastAsia="Noto Sans CJK SC"/>
          </w:rPr>
          <w:t>影目显示科技合资结构及投产</w:t>
        </w:r>
      </w:hyperlink>
      <w:r>
        <w:rPr>
          <w:rFonts w:ascii="Arial" w:hAnsi="Arial" w:eastAsia="Noto Sans CJK SC"/>
          <w:color w:val="666666"/>
          <w:sz w:val="17"/>
        </w:rPr>
        <w:t>｜新浪财经（地方报道转载）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支持事项：无锡合资公司51%/49%股权、注册资本和产线信息。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https://finance.sina.com.cn/roll/2026-01-04/doc-inhfcxwm2752436.shtml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[S40] </w:t>
      </w:r>
      <w:hyperlink r:id="rId48">
        <w:r>
          <w:rPr>
            <w:color w:val="2E74B5"/>
            <w:u w:val="single"/>
            <w:rFonts w:ascii="Arial" w:hAnsi="Arial" w:eastAsia="Noto Sans CJK SC"/>
          </w:rPr>
          <w:t>INMO影目科技官方网站</w:t>
        </w:r>
      </w:hyperlink>
      <w:r>
        <w:rPr>
          <w:rFonts w:ascii="Arial" w:hAnsi="Arial" w:eastAsia="Noto Sans CJK SC"/>
          <w:color w:val="666666"/>
          <w:sz w:val="17"/>
        </w:rPr>
        <w:t>｜四川影目科技有限公司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支持事项：品牌、产品与联系方式。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https://inmolens.com/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[S41] </w:t>
      </w:r>
      <w:hyperlink r:id="rId49">
        <w:r>
          <w:rPr>
            <w:color w:val="2E74B5"/>
            <w:u w:val="single"/>
            <w:rFonts w:ascii="Arial" w:hAnsi="Arial" w:eastAsia="Noto Sans CJK SC"/>
          </w:rPr>
          <w:t>INMO X系列与王嘉尔品牌合作</w:t>
        </w:r>
      </w:hyperlink>
      <w:r>
        <w:rPr>
          <w:rFonts w:ascii="Arial" w:hAnsi="Arial" w:eastAsia="Noto Sans CJK SC"/>
          <w:color w:val="666666"/>
          <w:sz w:val="17"/>
        </w:rPr>
        <w:t>｜新浪科技/产业报道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支持事项：2026年X系列时尚化和品牌合作线索。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https://finance.sina.com.cn/roll/2026-07-02/doc-inifnxpe3674649.shtml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[S42] </w:t>
      </w:r>
      <w:hyperlink r:id="rId50">
        <w:r>
          <w:rPr>
            <w:color w:val="2E74B5"/>
            <w:u w:val="single"/>
            <w:rFonts w:ascii="Arial" w:hAnsi="Arial" w:eastAsia="Noto Sans CJK SC"/>
          </w:rPr>
          <w:t>成都研发与深莞中供应链布局</w:t>
        </w:r>
      </w:hyperlink>
      <w:r>
        <w:rPr>
          <w:rFonts w:ascii="Arial" w:hAnsi="Arial" w:eastAsia="Noto Sans CJK SC"/>
          <w:color w:val="666666"/>
          <w:sz w:val="17"/>
        </w:rPr>
        <w:t>｜成都商报/红星新闻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支持事项：成都总部与深圳硬件研发、东莞中山供应链布局。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https://static.cdsb.com/micropub/Articles/202603/426b6bf803d81a6b66dfc32ad6f3927d.html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[S43] </w:t>
      </w:r>
      <w:hyperlink r:id="rId51">
        <w:r>
          <w:rPr>
            <w:color w:val="2E74B5"/>
            <w:u w:val="single"/>
            <w:rFonts w:ascii="Arial" w:hAnsi="Arial" w:eastAsia="Noto Sans CJK SC"/>
          </w:rPr>
          <w:t>一种基于AR眼镜的会议信息交互方法（CN117714631A）</w:t>
        </w:r>
      </w:hyperlink>
      <w:r>
        <w:rPr>
          <w:rFonts w:ascii="Arial" w:hAnsi="Arial" w:eastAsia="Noto Sans CJK SC"/>
          <w:color w:val="666666"/>
          <w:sz w:val="17"/>
        </w:rPr>
        <w:t>｜国家知识产权公开文本镜像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支持事项：具体专利申请样本。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https://qxb-img-osscache.qixin.com/patents_pdf_new/ca4e2b6f819a60c6d41430348775feed.pdf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[S44] </w:t>
      </w:r>
      <w:hyperlink r:id="rId52">
        <w:r>
          <w:rPr>
            <w:color w:val="2E74B5"/>
            <w:u w:val="single"/>
            <w:rFonts w:ascii="Arial" w:hAnsi="Arial" w:eastAsia="Noto Sans CJK SC"/>
          </w:rPr>
          <w:t>一种智能穿戴设备的信息显示方法（CN116056017A）</w:t>
        </w:r>
      </w:hyperlink>
      <w:r>
        <w:rPr>
          <w:rFonts w:ascii="Arial" w:hAnsi="Arial" w:eastAsia="Noto Sans CJK SC"/>
          <w:color w:val="666666"/>
          <w:sz w:val="17"/>
        </w:rPr>
        <w:t>｜Google Patents/国家专利公开文本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支持事项：具体专利申请样本。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https://patentimages.storage.googleapis.com/2f/80/f1/26d36f34b894be/CN116056017A.pdf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[S45] </w:t>
      </w:r>
      <w:hyperlink r:id="rId53">
        <w:r>
          <w:rPr>
            <w:color w:val="2E74B5"/>
            <w:u w:val="single"/>
            <w:rFonts w:ascii="Arial" w:hAnsi="Arial" w:eastAsia="Noto Sans CJK SC"/>
          </w:rPr>
          <w:t>2025年个人信息保护专项行动公告</w:t>
        </w:r>
      </w:hyperlink>
      <w:r>
        <w:rPr>
          <w:rFonts w:ascii="Arial" w:hAnsi="Arial" w:eastAsia="Noto Sans CJK SC"/>
          <w:color w:val="666666"/>
          <w:sz w:val="17"/>
        </w:rPr>
        <w:t>｜中央网信办等四部门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支持事项：智能终端、App权限与公共场所人脸识别执法重点。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https://www.cac.gov.cn/2025-03/28/c_1744867353112759.htm</w:t>
      </w:r>
    </w:p>
    <w:p>
      <w:pPr>
        <w:keepNext/>
        <w:spacing w:before="100" w:after="20"/>
      </w:pPr>
      <w:r>
        <w:rPr>
          <w:rFonts w:ascii="Arial" w:hAnsi="Arial" w:eastAsia="Noto Sans CJK SC"/>
          <w:b/>
          <w:color w:val="2E74B5"/>
          <w:sz w:val="18"/>
        </w:rPr>
        <w:t xml:space="preserve">[S46] </w:t>
      </w:r>
      <w:hyperlink r:id="rId54">
        <w:r>
          <w:rPr>
            <w:color w:val="2E74B5"/>
            <w:u w:val="single"/>
            <w:rFonts w:ascii="Arial" w:hAnsi="Arial" w:eastAsia="Noto Sans CJK SC"/>
          </w:rPr>
          <w:t>AI终端智能化分级总体要求 GB/Z 177.2-2026</w:t>
        </w:r>
      </w:hyperlink>
      <w:r>
        <w:rPr>
          <w:rFonts w:ascii="Arial" w:hAnsi="Arial" w:eastAsia="Noto Sans CJK SC"/>
          <w:color w:val="666666"/>
          <w:sz w:val="17"/>
        </w:rPr>
        <w:t>｜国家市场监督管理总局/国家标准委</w:t>
      </w:r>
    </w:p>
    <w:p>
      <w:pPr>
        <w:spacing w:after="20"/>
        <w:ind w:left="259"/>
      </w:pPr>
      <w:r>
        <w:rPr>
          <w:rFonts w:ascii="Arial" w:hAnsi="Arial" w:eastAsia="Noto Sans CJK SC"/>
          <w:color w:val="1F1F1F"/>
          <w:sz w:val="16"/>
        </w:rPr>
        <w:t>支持事项：2026年生效的AI终端智能化分级总体框架。</w:t>
      </w:r>
    </w:p>
    <w:p>
      <w:pPr>
        <w:keepLines/>
        <w:spacing w:after="60"/>
        <w:ind w:left="259"/>
      </w:pPr>
      <w:r>
        <w:rPr>
          <w:rFonts w:ascii="Arial" w:hAnsi="Arial" w:eastAsia="Noto Sans CJK SC"/>
          <w:color w:val="666666"/>
          <w:sz w:val="14"/>
        </w:rPr>
        <w:t>https://openstd.samr.gov.cn/bzgk/std/newGbInfo?hcno=431583FF304763015BD90617D8A02C65</w:t>
      </w:r>
    </w:p>
    <w:p>
      <w:r>
        <w:br w:type="page"/>
      </w:r>
    </w:p>
    <w:p>
      <w:pPr>
        <w:pStyle w:val="Heading1"/>
      </w:pPr>
      <w:r>
        <w:t>附录B｜口径与缩略语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1F2"/>
          <w:left w:val="single" w:sz="4" w:space="0" w:color="D9E1F2"/>
          <w:bottom w:val="single" w:sz="4" w:space="0" w:color="D9E1F2"/>
          <w:right w:val="single" w:sz="4" w:space="0" w:color="D9E1F2"/>
          <w:insideH w:val="single" w:sz="4" w:space="0" w:color="D9E1F2"/>
          <w:insideV w:val="single" w:sz="4" w:space="0" w:color="D9E1F2"/>
        </w:tblBorders>
      </w:tblPr>
      <w:tblGrid>
        <w:gridCol w:w="4829"/>
        <w:gridCol w:w="4829"/>
      </w:tblGrid>
      <w:tr>
        <w:trPr>
          <w:tblHeader w:val="true"/>
          <w:cantSplit/>
        </w:trPr>
        <w:tc>
          <w:tcPr>
            <w:tcW w:type="dxa" w:w="200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术语</w:t>
            </w:r>
          </w:p>
        </w:tc>
        <w:tc>
          <w:tcPr>
            <w:tcW w:type="dxa" w:w="7360"/>
            <w:shd w:fill="17324D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Noto Sans CJK SC"/>
                <w:b/>
                <w:color w:val="FFFFFF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AI眼镜</w:t>
            </w:r>
          </w:p>
        </w:tc>
        <w:tc>
          <w:tcPr>
            <w:tcW w:type="dxa" w:w="7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可集成摄像、音频、显示、传感和AI服务的眼镜形态；不同机构统计边界差异大。</w:t>
            </w:r>
          </w:p>
        </w:tc>
      </w:tr>
      <w:tr>
        <w:trPr>
          <w:cantSplit/>
        </w:trPr>
        <w:tc>
          <w:tcPr>
            <w:tcW w:type="dxa" w:w="2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AR眼镜</w:t>
            </w:r>
          </w:p>
        </w:tc>
        <w:tc>
          <w:tcPr>
            <w:tcW w:type="dxa" w:w="7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把数字信息叠加到现实视野的眼镜；本报告进一步区分单色信息提示与全彩显示。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Sell-in</w:t>
            </w:r>
          </w:p>
        </w:tc>
        <w:tc>
          <w:tcPr>
            <w:tcW w:type="dxa" w:w="7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品牌向经销商/渠道出货，不代表消费者购买。</w:t>
            </w:r>
          </w:p>
        </w:tc>
      </w:tr>
      <w:tr>
        <w:trPr>
          <w:cantSplit/>
        </w:trPr>
        <w:tc>
          <w:tcPr>
            <w:tcW w:type="dxa" w:w="2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Sell-through</w:t>
            </w:r>
          </w:p>
        </w:tc>
        <w:tc>
          <w:tcPr>
            <w:tcW w:type="dxa" w:w="7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渠道最终销售给消费者，更接近真实需求。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激活</w:t>
            </w:r>
          </w:p>
        </w:tc>
        <w:tc>
          <w:tcPr>
            <w:tcW w:type="dxa" w:w="7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设备首次联网/注册；仍需剔除样机、退货和重复设备。</w:t>
            </w:r>
          </w:p>
        </w:tc>
      </w:tr>
      <w:tr>
        <w:trPr>
          <w:cantSplit/>
        </w:trPr>
        <w:tc>
          <w:tcPr>
            <w:tcW w:type="dxa" w:w="2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FTO</w:t>
            </w:r>
          </w:p>
        </w:tc>
        <w:tc>
          <w:tcPr>
            <w:tcW w:type="dxa" w:w="7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Freedom to Operate，自由实施分析，用于评估产品在特定法域是否可能侵犯有效专利。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PPD/FOV</w:t>
            </w:r>
          </w:p>
        </w:tc>
        <w:tc>
          <w:tcPr>
            <w:tcW w:type="dxa" w:w="7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每度像素/视场角；分别影响清晰度与可视范围。</w:t>
            </w:r>
          </w:p>
        </w:tc>
      </w:tr>
      <w:tr>
        <w:trPr>
          <w:cantSplit/>
        </w:trPr>
        <w:tc>
          <w:tcPr>
            <w:tcW w:type="dxa" w:w="2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DOA</w:t>
            </w:r>
          </w:p>
        </w:tc>
        <w:tc>
          <w:tcPr>
            <w:tcW w:type="dxa" w:w="7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到货即损坏（Dead on Arrival）。</w:t>
            </w:r>
          </w:p>
        </w:tc>
      </w:tr>
      <w:tr>
        <w:trPr>
          <w:cantSplit/>
        </w:trPr>
        <w:tc>
          <w:tcPr>
            <w:tcW w:type="dxa" w:w="200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PIPIA</w:t>
            </w:r>
          </w:p>
        </w:tc>
        <w:tc>
          <w:tcPr>
            <w:tcW w:type="dxa" w:w="7360"/>
            <w:shd w:fill="FFFFFF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个人信息保护影响评估。</w:t>
            </w:r>
          </w:p>
        </w:tc>
      </w:tr>
      <w:tr>
        <w:trPr>
          <w:cantSplit/>
        </w:trPr>
        <w:tc>
          <w:tcPr>
            <w:tcW w:type="dxa" w:w="200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b/>
                <w:color w:val="17324D"/>
                <w:sz w:val="17"/>
              </w:rPr>
              <w:t>贡献毛利</w:t>
            </w:r>
          </w:p>
        </w:tc>
        <w:tc>
          <w:tcPr>
            <w:tcW w:type="dxa" w:w="7360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 w:eastAsia="Noto Sans CJK SC"/>
                <w:color w:val="1F1F1F"/>
                <w:sz w:val="17"/>
              </w:rPr>
              <w:t>扣除与订单/设备直接相关的制造、渠道、物流、云、退货和保修后的毛利。</w:t>
            </w:r>
          </w:p>
        </w:tc>
      </w:tr>
    </w:tbl>
    <w:p>
      <w:pPr>
        <w:spacing w:after="0"/>
      </w:pPr>
    </w:p>
    <w:p>
      <w:pPr>
        <w:pStyle w:val="Heading1"/>
      </w:pPr>
      <w:r>
        <w:t>附录C｜报告局限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未取得企业征信、工商内档、审计报表、纳税申报、银行流水、重大合同和管理层书面确认。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部分商业数据库信息受登录/付费限制，股权比例、实缴资本、对外投资和知识产权数量可能存在滞后。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媒体采访中的销量、营收、订单、市占率、估值和目标均未进行独立审计。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未进行产品实验室拆解、光学/续航/热管理测试、代码审计、网络安全测试或用户队列分析。</w:t>
      </w:r>
    </w:p>
    <w:p>
      <w:pPr>
        <w:pStyle w:val="ListBullet"/>
        <w:ind w:left="720"/>
      </w:pPr>
      <w:r>
        <w:rPr>
          <w:rFonts w:ascii="Arial" w:hAnsi="Arial" w:eastAsia="Noto Sans CJK SC"/>
          <w:color w:val="1F1F1F"/>
          <w:sz w:val="21"/>
        </w:rPr>
        <w:t>未对所有司法辖区开展诉讼、专利、制裁、出口管制和数据保护法律意见。</w:t>
      </w:r>
    </w:p>
    <w:sectPr w:rsidR="00FC693F" w:rsidRPr="0006063C" w:rsidSect="00034616">
      <w:headerReference w:type="default" r:id="rId55"/>
      <w:footerReference w:type="default" r:id="rId56"/>
      <w:pgSz w:w="11905" w:h="16838"/>
      <w:pgMar w:top="1037" w:right="1123" w:bottom="979" w:left="1123" w:header="403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dxa" w:w="300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Arial" w:hAnsi="Arial" w:eastAsia="Noto Sans CJK SC"/>
              <w:b/>
              <w:color w:val="666666"/>
              <w:sz w:val="15"/>
            </w:rPr>
            <w:t>公开信息尽调｜机密</w:t>
          </w:r>
        </w:p>
      </w:tc>
      <w:tc>
        <w:tcPr>
          <w:tcW w:type="dxa" w:w="336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center"/>
          </w:pPr>
          <w:r>
            <w:rPr>
              <w:rFonts w:ascii="Arial" w:hAnsi="Arial" w:eastAsia="Noto Sans CJK SC"/>
              <w:color w:val="666666"/>
              <w:sz w:val="15"/>
            </w:rPr>
            <w:t>2026年8月11日</w:t>
          </w:r>
        </w:p>
      </w:tc>
      <w:tc>
        <w:tcPr>
          <w:tcW w:type="dxa" w:w="300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 w:eastAsia="Noto Sans CJK SC"/>
              <w:color w:val="666666"/>
              <w:sz w:val="15"/>
            </w:rPr>
            <w:t xml:space="preserve">第 </w:t>
          </w:r>
          <w: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Arial" w:hAnsi="Arial" w:eastAsia="Noto Sans CJK SC"/>
              <w:color w:val="666666"/>
              <w:sz w:val="15"/>
            </w:rPr>
            <w:t xml:space="preserve"> 页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3" w:color="5B9BD5"/>
      </w:pBdr>
    </w:pPr>
    <w:r>
      <w:rPr>
        <w:rFonts w:ascii="Arial" w:hAnsi="Arial" w:eastAsia="Noto Sans CJK SC"/>
        <w:b/>
        <w:color w:val="666666"/>
        <w:sz w:val="16"/>
      </w:rPr>
      <w:t>四川影目科技有限公司｜深度尽调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Noto Sans CJK SC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eastAsia="Noto Sans CJK SC"/>
      <w:b/>
      <w:bCs/>
      <w:color w:val="1732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Noto Sans CJK SC"/>
      <w:b/>
      <w:bCs/>
      <w:color w:val="2E74B5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Noto Sans CJK SC"/>
      <w:b/>
      <w:bCs/>
      <w:color w:val="17324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 w:eastAsia="Noto Sans CJK SC"/>
      <w:b/>
      <w:color w:val="1732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 w:eastAsia="Noto Sans CJK SC"/>
      <w:b w:val="0"/>
      <w:i/>
      <w:iCs/>
      <w:color w:val="66666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720" w:hanging="360"/>
      <w:contextualSpacing/>
    </w:pPr>
    <w:rPr>
      <w:rFonts w:ascii="Arial" w:hAnsi="Arial" w:eastAsia="Noto Sans CJK SC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720" w:hanging="360"/>
      <w:contextualSpacing/>
    </w:pPr>
    <w:rPr>
      <w:rFonts w:ascii="Arial" w:hAnsi="Arial" w:eastAsia="Noto Sans CJK SC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after="80" w:line="252" w:lineRule="auto"/>
    </w:pPr>
    <w:rPr>
      <w:rFonts w:ascii="Arial" w:hAnsi="Arial" w:eastAsia="Noto Sans CJK SC"/>
      <w:color w:val="17324D"/>
      <w:sz w:val="18"/>
    </w:rPr>
  </w:style>
  <w:style w:type="paragraph" w:customStyle="1" w:styleId="SourceNote">
    <w:name w:val="SourceNote"/>
    <w:pPr>
      <w:spacing w:after="80" w:line="252" w:lineRule="auto"/>
    </w:pPr>
    <w:rPr>
      <w:rFonts w:ascii="Arial" w:hAnsi="Arial" w:eastAsia="Noto Sans CJK SC"/>
      <w:color w:val="666666"/>
      <w:sz w:val="18"/>
    </w:rPr>
  </w:style>
  <w:style w:type="paragraph" w:customStyle="1" w:styleId="SmallText">
    <w:name w:val="SmallText"/>
    <w:pPr>
      <w:spacing w:after="80" w:line="252" w:lineRule="auto"/>
    </w:pPr>
    <w:rPr>
      <w:rFonts w:ascii="Arial" w:hAnsi="Arial" w:eastAsia="Noto Sans CJK SC"/>
      <w:color w:val="6666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huidi.cn/company-c79b107228dd57543e1ab28313cf4e01.html" TargetMode="External"/><Relationship Id="rId10" Type="http://schemas.openxmlformats.org/officeDocument/2006/relationships/hyperlink" Target="https://scfzfund.sdholding.com/news/company/611714627649605.html" TargetMode="External"/><Relationship Id="rId11" Type="http://schemas.openxmlformats.org/officeDocument/2006/relationships/hyperlink" Target="https://www.36kr.com/newsflashes/1045859687727236" TargetMode="External"/><Relationship Id="rId12" Type="http://schemas.openxmlformats.org/officeDocument/2006/relationships/hyperlink" Target="https://www.arinchina.com/11509.html" TargetMode="External"/><Relationship Id="rId13" Type="http://schemas.openxmlformats.org/officeDocument/2006/relationships/hyperlink" Target="https://www.jiemian.com/article/13071627.html" TargetMode="External"/><Relationship Id="rId14" Type="http://schemas.openxmlformats.org/officeDocument/2006/relationships/hyperlink" Target="https://sc.people.com.cn/n2/2025/0318/c345167-41167412.html" TargetMode="External"/><Relationship Id="rId15" Type="http://schemas.openxmlformats.org/officeDocument/2006/relationships/hyperlink" Target="https://tech.ifeng.com/c/8IxFbGUfxll" TargetMode="External"/><Relationship Id="rId16" Type="http://schemas.openxmlformats.org/officeDocument/2006/relationships/hyperlink" Target="https://www.imem.tsinghua.edu.cn/info/1201/3601.htm" TargetMode="External"/><Relationship Id="rId17" Type="http://schemas.openxmlformats.org/officeDocument/2006/relationships/hyperlink" Target="https://vc.pedaily.cn/company/180750.html" TargetMode="External"/><Relationship Id="rId18" Type="http://schemas.openxmlformats.org/officeDocument/2006/relationships/hyperlink" Target="https://www.stcn.com/article/detail/3594356.html" TargetMode="External"/><Relationship Id="rId19" Type="http://schemas.openxmlformats.org/officeDocument/2006/relationships/hyperlink" Target="https://www.js.chinanews.com.cn/news/2025/1226/231691.html" TargetMode="External"/><Relationship Id="rId20" Type="http://schemas.openxmlformats.org/officeDocument/2006/relationships/hyperlink" Target="https://permit.mee.gov.cn/register/library/registerShow.vm?enterid=855ff78e-d0bc-4367-b2c5-7417c82fc9ca" TargetMode="External"/><Relationship Id="rId21" Type="http://schemas.openxmlformats.org/officeDocument/2006/relationships/hyperlink" Target="https://founded-today.com/2026/1010001265714/" TargetMode="External"/><Relationship Id="rId22" Type="http://schemas.openxmlformats.org/officeDocument/2006/relationships/hyperlink" Target="https://pdf.dfcfw.com/pdf/H3_AP202412021641148484_1.pdf?1733173860000.pdf=" TargetMode="External"/><Relationship Id="rId23" Type="http://schemas.openxmlformats.org/officeDocument/2006/relationships/hyperlink" Target="https://www.jb-display.com.cn/newsdetails/52.html" TargetMode="External"/><Relationship Id="rId24" Type="http://schemas.openxmlformats.org/officeDocument/2006/relationships/hyperlink" Target="https://www.ithome.com/0/890/218.htm" TargetMode="External"/><Relationship Id="rId25" Type="http://schemas.openxmlformats.org/officeDocument/2006/relationships/hyperlink" Target="https://www.jiemian.com/article/12830040.html" TargetMode="External"/><Relationship Id="rId26" Type="http://schemas.openxmlformats.org/officeDocument/2006/relationships/hyperlink" Target="https://tech.ifeng.com/c/8nVPS7rlpcy" TargetMode="External"/><Relationship Id="rId27" Type="http://schemas.openxmlformats.org/officeDocument/2006/relationships/hyperlink" Target="https://sc.people.com.cn/n2/2025/0610/c345167-41254684.html" TargetMode="External"/><Relationship Id="rId28" Type="http://schemas.openxmlformats.org/officeDocument/2006/relationships/hyperlink" Target="https://news.chengdu.cn/2026/0206/6985eeb90e672f46cb3a592f.shtml?phone=yes" TargetMode="External"/><Relationship Id="rId29" Type="http://schemas.openxmlformats.org/officeDocument/2006/relationships/hyperlink" Target="https://www.vrtuoluo.cn/543375.html" TargetMode="External"/><Relationship Id="rId30" Type="http://schemas.openxmlformats.org/officeDocument/2006/relationships/hyperlink" Target="https://www.idc.com/resource-center/blog/2025%E5%B9%B4%E4%B8%AD%E5%9B%BD%E6%99%BA%E8%83%BD%E7%9C%BC%E9%95%9C%E5%B8%82%E5%9C%BA%E5%90%8C%E6%AF%94%E5%A2%9E%E9%95%BF87-1%EF%BC%8C%E8%A1%8C%E4%B8%9A%E4%BB%8E%E7%A1%AC%E4%BB%B6%E9%93%BA%E9%99%88/" TargetMode="External"/><Relationship Id="rId31" Type="http://schemas.openxmlformats.org/officeDocument/2006/relationships/hyperlink" Target="https://www.idc.com/resource-center/blog/smart-glasses-surge-the-xr-market-is-rewriting-its-own-rules/" TargetMode="External"/><Relationship Id="rId32" Type="http://schemas.openxmlformats.org/officeDocument/2006/relationships/hyperlink" Target="https://china.counterpointresearch.com/2026-%E5%B9%B4%E7%AC%AC%E4%B8%80%E5%AD%A3%E5%BA%A6%E5%85%A8%E7%90%83%E6%99%BA%E8%83%BD%E5%A4%B4%E6%88%B4%E8%AE%BE%E5%A4%87%E5%B8%82%E5%9C%BA%E5%90%8C%E6%AF%94%E5%A2%9E%E9%95%BF%E7%99%BE%E5%88%86/" TargetMode="External"/><Relationship Id="rId33" Type="http://schemas.openxmlformats.org/officeDocument/2006/relationships/hyperlink" Target="https://www.xcc.com/news/detail/5574298" TargetMode="External"/><Relationship Id="rId34" Type="http://schemas.openxmlformats.org/officeDocument/2006/relationships/hyperlink" Target="https://www.miit.gov.cn/zwgk/zcwj/wjfb/tz/art/2022/art_775aaa3f77264817a5b41421a8b2ce22.html" TargetMode="External"/><Relationship Id="rId35" Type="http://schemas.openxmlformats.org/officeDocument/2006/relationships/hyperlink" Target="https://www.cac.gov.cn/2025-08/27/c_1758018277755538.htm" TargetMode="External"/><Relationship Id="rId36" Type="http://schemas.openxmlformats.org/officeDocument/2006/relationships/hyperlink" Target="https://std.samr.gov.cn/gb/search/gbDetailed?id=36E4AC7A37849E69E06397BE0A0A49AD" TargetMode="External"/><Relationship Id="rId37" Type="http://schemas.openxmlformats.org/officeDocument/2006/relationships/hyperlink" Target="https://www.usitc.gov/press_room/news_release/2025/er0708_67283.htm" TargetMode="External"/><Relationship Id="rId38" Type="http://schemas.openxmlformats.org/officeDocument/2006/relationships/hyperlink" Target="https://www.usitc.gov/sites/default/files/secretary/fed_reg_notices/337/337_1455_notice12192025sgl.pdf" TargetMode="External"/><Relationship Id="rId39" Type="http://schemas.openxmlformats.org/officeDocument/2006/relationships/hyperlink" Target="https://www.szns.gov.cn/nsqrzj/gkmlpt/content/11/11605/post_11605182.html" TargetMode="External"/><Relationship Id="rId40" Type="http://schemas.openxmlformats.org/officeDocument/2006/relationships/hyperlink" Target="https://im-protocol.inmolens.com/protocol/phone/privacy/zh_CN.html" TargetMode="External"/><Relationship Id="rId41" Type="http://schemas.openxmlformats.org/officeDocument/2006/relationships/hyperlink" Target="https://www.inmoxr.com/policies/privacy-policy" TargetMode="External"/><Relationship Id="rId42" Type="http://schemas.openxmlformats.org/officeDocument/2006/relationships/hyperlink" Target="https://www.cac.gov.cn/2025-03/21/c_1744174262156096.htm" TargetMode="External"/><Relationship Id="rId43" Type="http://schemas.openxmlformats.org/officeDocument/2006/relationships/hyperlink" Target="https://www.36kr.com/p/3835921590433161" TargetMode="External"/><Relationship Id="rId44" Type="http://schemas.openxmlformats.org/officeDocument/2006/relationships/hyperlink" Target="https://www.sohu.com/a/976302682_114984" TargetMode="External"/><Relationship Id="rId45" Type="http://schemas.openxmlformats.org/officeDocument/2006/relationships/hyperlink" Target="https://www.inmoxr.com/pages/inmo-air3" TargetMode="External"/><Relationship Id="rId46" Type="http://schemas.openxmlformats.org/officeDocument/2006/relationships/hyperlink" Target="https://www.shenzhenware.com/news/2508" TargetMode="External"/><Relationship Id="rId47" Type="http://schemas.openxmlformats.org/officeDocument/2006/relationships/hyperlink" Target="https://finance.sina.com.cn/roll/2026-01-04/doc-inhfcxwm2752436.shtml" TargetMode="External"/><Relationship Id="rId48" Type="http://schemas.openxmlformats.org/officeDocument/2006/relationships/hyperlink" Target="https://inmolens.com/" TargetMode="External"/><Relationship Id="rId49" Type="http://schemas.openxmlformats.org/officeDocument/2006/relationships/hyperlink" Target="https://finance.sina.com.cn/roll/2026-07-02/doc-inifnxpe3674649.shtml" TargetMode="External"/><Relationship Id="rId50" Type="http://schemas.openxmlformats.org/officeDocument/2006/relationships/hyperlink" Target="https://static.cdsb.com/micropub/Articles/202603/426b6bf803d81a6b66dfc32ad6f3927d.html" TargetMode="External"/><Relationship Id="rId51" Type="http://schemas.openxmlformats.org/officeDocument/2006/relationships/hyperlink" Target="https://qxb-img-osscache.qixin.com/patents_pdf_new/ca4e2b6f819a60c6d41430348775feed.pdf" TargetMode="External"/><Relationship Id="rId52" Type="http://schemas.openxmlformats.org/officeDocument/2006/relationships/hyperlink" Target="https://patentimages.storage.googleapis.com/2f/80/f1/26d36f34b894be/CN116056017A.pdf" TargetMode="External"/><Relationship Id="rId53" Type="http://schemas.openxmlformats.org/officeDocument/2006/relationships/hyperlink" Target="https://www.cac.gov.cn/2025-03/28/c_1744867353112759.htm" TargetMode="External"/><Relationship Id="rId54" Type="http://schemas.openxmlformats.org/officeDocument/2006/relationships/hyperlink" Target="https://openstd.samr.gov.cn/bzgk/std/newGbInfo?hcno=431583FF304763015BD90617D8A02C65" TargetMode="External"/><Relationship Id="rId55" Type="http://schemas.openxmlformats.org/officeDocument/2006/relationships/header" Target="header1.xm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四川影目科技有限公司投资机构决策版深度尽调报告</dc:title>
  <dc:subject>产业、行业、团队、上下游、关联企业、法律与风险</dc:subject>
  <dc:creator>公开信息研究</dc:creator>
  <cp:keywords>INMO, 影目科技, AI眼镜, AR眼镜, 尽职调查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