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40"/>
      </w:pPr>
      <w:r>
        <w:rPr>
          <w:rFonts w:ascii="Arial" w:hAnsi="Arial" w:eastAsia="Noto Sans CJK SC"/>
          <w:b/>
          <w:color w:val="BF9000"/>
          <w:sz w:val="20"/>
        </w:rPr>
        <w:t>INVESTMENT COMMITTEE MEMORANDUM</w:t>
      </w:r>
    </w:p>
    <w:p>
      <w:pPr>
        <w:spacing w:after="80"/>
      </w:pPr>
      <w:r>
        <w:rPr>
          <w:rFonts w:ascii="Arial" w:hAnsi="Arial" w:eastAsia="Noto Sans CJK SC"/>
          <w:b/>
          <w:color w:val="17324D"/>
          <w:sz w:val="52"/>
        </w:rPr>
        <w:t>四川影目科技有限公司</w:t>
      </w:r>
    </w:p>
    <w:p>
      <w:pPr>
        <w:spacing w:after="320"/>
      </w:pPr>
      <w:r>
        <w:rPr>
          <w:rFonts w:ascii="Arial" w:hAnsi="Arial" w:eastAsia="Noto Sans CJK SC"/>
          <w:b/>
          <w:color w:val="2E74B5"/>
          <w:sz w:val="28"/>
        </w:rPr>
        <w:t>投资委员会决策备忘录｜公开信息商业化 MVP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tblHeader w:val="true"/>
          <w:cantSplit/>
        </w:trPr>
        <w:tc>
          <w:tcPr>
            <w:tcW w:type="dxa" w:w="1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75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决策建议</w:t>
            </w:r>
          </w:p>
        </w:tc>
        <w:tc>
          <w:tcPr>
            <w:tcW w:type="dxa" w:w="75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条件性进入数据室与专项尽调；不建议仅凭融资背书、媒体销量或市占率定价。</w:t>
            </w:r>
          </w:p>
        </w:tc>
      </w:tr>
      <w:tr>
        <w:trPr>
          <w:cantSplit/>
        </w:trPr>
        <w:tc>
          <w:tcPr>
            <w:tcW w:type="dxa" w:w="1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当前评级</w:t>
            </w:r>
          </w:p>
        </w:tc>
        <w:tc>
          <w:tcPr>
            <w:tcW w:type="dxa" w:w="7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投资潜力：较高｜风险：中高｜证据完整度：中等｜财务透明度：偏低。</w:t>
            </w:r>
          </w:p>
        </w:tc>
      </w:tr>
      <w:tr>
        <w:trPr>
          <w:cantSplit/>
        </w:trPr>
        <w:tc>
          <w:tcPr>
            <w:tcW w:type="dxa" w:w="1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适用边界</w:t>
            </w:r>
          </w:p>
        </w:tc>
        <w:tc>
          <w:tcPr>
            <w:tcW w:type="dxa" w:w="75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本备忘录基于公开信息，不构成估值或投资意见；正式决策必须以审计、合同、数据室与管理层书面确认为准。</w:t>
            </w:r>
          </w:p>
        </w:tc>
      </w:tr>
      <w:tr>
        <w:trPr>
          <w:cantSplit/>
        </w:trPr>
        <w:tc>
          <w:tcPr>
            <w:tcW w:type="dxa" w:w="1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版本信息</w:t>
            </w:r>
          </w:p>
        </w:tc>
        <w:tc>
          <w:tcPr>
            <w:tcW w:type="dxa" w:w="7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IC-MVP v1.0｜基准日 2026-08-11｜出具日 2026-08-12｜密级：机密。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548235"/>
          <w:left w:val="single" w:sz="8" w:space="0" w:color="548235"/>
          <w:bottom w:val="single" w:sz="8" w:space="0" w:color="548235"/>
          <w:right w:val="single" w:sz="8" w:space="0" w:color="548235"/>
          <w:insideH w:val="single" w:sz="8" w:space="0" w:color="548235"/>
          <w:insideV w:val="single" w:sz="8" w:space="0" w:color="548235"/>
        </w:tblBorders>
      </w:tblPr>
      <w:tblGrid>
        <w:gridCol w:w="9659"/>
      </w:tblGrid>
      <w:tr>
        <w:tc>
          <w:tcPr>
            <w:tcW w:type="dxa" w:w="9360"/>
            <w:shd w:fill="E2F0D9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548235"/>
                <w:sz w:val="21"/>
              </w:rPr>
              <w:t>一句话投资命题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影目的核心价值不在“AI 眼镜概念”，而在是否能把多代产品、供应链与地方产业资源转化为高频使用、可验证贡献毛利和正向现金转换。在这三组证据完成前，应将其视为有产品力的消费电子创业项目，而非已验证的平台型入口。</w:t>
            </w:r>
          </w:p>
        </w:tc>
      </w:tr>
    </w:tbl>
    <w:p>
      <w:pPr>
        <w:spacing w:after="0"/>
      </w:pPr>
    </w:p>
    <w:p>
      <w:pPr>
        <w:pStyle w:val="Heading1"/>
      </w:pPr>
      <w:r>
        <w:t>1. 建议委员会如何决策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决策问题</w:t>
            </w:r>
          </w:p>
        </w:tc>
        <w:tc>
          <w:tcPr>
            <w:tcW w:type="dxa" w:w="2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当前答案</w:t>
            </w:r>
          </w:p>
        </w:tc>
        <w:tc>
          <w:tcPr>
            <w:tcW w:type="dxa" w:w="45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进入下一阶段的条件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是否值得继续</w:t>
            </w:r>
          </w:p>
        </w:tc>
        <w:tc>
          <w:tcPr>
            <w:tcW w:type="dxa" w:w="2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是，但只进入数据室与小额实证阶段。</w:t>
            </w:r>
          </w:p>
        </w:tc>
        <w:tc>
          <w:tcPr>
            <w:tcW w:type="dxa" w:w="45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管理层接受核心数据闭环、股权穿透和专项审查。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是否立即谈估值</w:t>
            </w:r>
          </w:p>
        </w:tc>
        <w:tc>
          <w:tcPr>
            <w:tcW w:type="dxa" w:w="2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否。当前公开口径无法支撑精确定价。</w:t>
            </w:r>
          </w:p>
        </w:tc>
        <w:tc>
          <w:tcPr>
            <w:tcW w:type="dxa" w:w="4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取得审计报表、型号级贡献毛利、激活/留存/退货及现金跑道。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是否可以放大敞口</w:t>
            </w:r>
          </w:p>
        </w:tc>
        <w:tc>
          <w:tcPr>
            <w:tcW w:type="dxa" w:w="2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否。应分期交割并把数据指标写入里程碑。</w:t>
            </w:r>
          </w:p>
        </w:tc>
        <w:tc>
          <w:tcPr>
            <w:tcW w:type="dxa" w:w="45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经审计财务与设备序列号闭环，337 和解可控，主要器件有工程验证双供。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最合适的交易形式</w:t>
            </w:r>
          </w:p>
        </w:tc>
        <w:tc>
          <w:tcPr>
            <w:tcW w:type="dxa" w:w="2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小额或分期股权投资，可叠加业务试点。</w:t>
            </w:r>
          </w:p>
        </w:tc>
        <w:tc>
          <w:tcPr>
            <w:tcW w:type="dxa" w:w="4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以 Sell-through、贡献毛利、90 日留存、退货/故障率、现金流与产线良率触发后续交割。</w:t>
            </w:r>
          </w:p>
        </w:tc>
      </w:tr>
    </w:tbl>
    <w:p>
      <w:pPr>
        <w:spacing w:after="0"/>
      </w:pPr>
    </w:p>
    <w:p>
      <w:pPr>
        <w:pStyle w:val="Heading1"/>
      </w:pPr>
      <w:r>
        <w:t>2. 支持继续尽调的核心理由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理由</w:t>
            </w:r>
          </w:p>
        </w:tc>
        <w:tc>
          <w:tcPr>
            <w:tcW w:type="dxa" w:w="4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证据与投资含义</w:t>
            </w:r>
          </w:p>
        </w:tc>
        <w:tc>
          <w:tcPr>
            <w:tcW w:type="dxa" w:w="26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保留意见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产品与量产经验</w:t>
            </w:r>
          </w:p>
        </w:tc>
        <w:tc>
          <w:tcPr>
            <w:tcW w:type="dxa" w:w="4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公司已有 AIR、GO、X 多条路线和多代产品，证明其不是纯概念型团队。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[S14]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[S16]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[S37]</w:t>
            </w:r>
          </w:p>
        </w:tc>
        <w:tc>
          <w:tcPr>
            <w:tcW w:type="dxa" w:w="2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产品参数不等于留存和盈利。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融资与产业资源</w:t>
            </w:r>
          </w:p>
        </w:tc>
        <w:tc>
          <w:tcPr>
            <w:tcW w:type="dxa" w:w="4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2025 年以来三轮融资合计近 5 亿元，成都总部、无锡光学产线与地方场景形成资源组合。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[S02]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[S10]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[S11]</w:t>
            </w:r>
          </w:p>
        </w:tc>
        <w:tc>
          <w:tcPr>
            <w:tcW w:type="dxa" w:w="2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地方承诺、优先权和回购/对赌未知。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创始团队积累</w:t>
            </w:r>
          </w:p>
        </w:tc>
        <w:tc>
          <w:tcPr>
            <w:tcW w:type="dxa" w:w="4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杨龙昇有交互模组、酷派 AR 与创业经验，公开报道显示研发导向明显。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[S04]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  <w:tc>
          <w:tcPr>
            <w:tcW w:type="dxa" w:w="2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创始人集中度高，CFO、质量、法务与数据保护岗位透明度不足。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市场时机</w:t>
            </w:r>
          </w:p>
        </w:tc>
        <w:tc>
          <w:tcPr>
            <w:tcW w:type="dxa" w:w="4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显示型智能眼镜仍处高增长与产品路线未定型的窗口期。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[S22]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[S23]</w:t>
            </w:r>
          </w:p>
        </w:tc>
        <w:tc>
          <w:tcPr>
            <w:tcW w:type="dxa" w:w="2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行业高增长不能自动转化为影目的市占、定价或现金流。</w:t>
            </w:r>
          </w:p>
        </w:tc>
      </w:tr>
    </w:tbl>
    <w:p>
      <w:pPr>
        <w:spacing w:after="0"/>
      </w:pPr>
    </w:p>
    <w:p>
      <w:pPr>
        <w:pStyle w:val="Heading1"/>
      </w:pPr>
      <w:r>
        <w:t>3. 七维投资决策评分卡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1932"/>
        <w:gridCol w:w="1932"/>
        <w:gridCol w:w="1932"/>
        <w:gridCol w:w="1932"/>
        <w:gridCol w:w="1932"/>
      </w:tblGrid>
      <w:tr>
        <w:trPr>
          <w:tblHeader w:val="true"/>
          <w:cantSplit/>
        </w:trPr>
        <w:tc>
          <w:tcPr>
            <w:tcW w:type="dxa" w:w="21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维度</w:t>
            </w:r>
          </w:p>
        </w:tc>
        <w:tc>
          <w:tcPr>
            <w:tcW w:type="dxa" w:w="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当前分</w:t>
            </w:r>
          </w:p>
        </w:tc>
        <w:tc>
          <w:tcPr>
            <w:tcW w:type="dxa" w:w="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权重</w:t>
            </w:r>
          </w:p>
        </w:tc>
        <w:tc>
          <w:tcPr>
            <w:tcW w:type="dxa" w:w="10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加权分</w:t>
            </w:r>
          </w:p>
        </w:tc>
        <w:tc>
          <w:tcPr>
            <w:tcW w:type="dxa" w:w="44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委员会解读</w:t>
            </w:r>
          </w:p>
        </w:tc>
      </w:tr>
      <w:tr>
        <w:trPr>
          <w:cantSplit/>
        </w:trPr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赛道吸引力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76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15%</w:t>
            </w:r>
          </w:p>
        </w:tc>
        <w:tc>
          <w:tcPr>
            <w:tcW w:type="dxa" w:w="1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11.4</w:t>
            </w:r>
          </w:p>
        </w:tc>
        <w:tc>
          <w:tcPr>
            <w:tcW w:type="dxa" w:w="4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增长快，但统计边界与产品路线仍波动。</w:t>
            </w:r>
          </w:p>
        </w:tc>
      </w:tr>
      <w:tr>
        <w:trPr>
          <w:cantSplit/>
        </w:trPr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产品/技术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72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20%</w:t>
            </w:r>
          </w:p>
        </w:tc>
        <w:tc>
          <w:tcPr>
            <w:tcW w:type="dxa" w:w="1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14.4</w:t>
            </w:r>
          </w:p>
        </w:tc>
        <w:tc>
          <w:tcPr>
            <w:tcW w:type="dxa" w:w="4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多代产品与一体式经验是优势，留存、可靠性和 FTO 待验。</w:t>
            </w:r>
          </w:p>
        </w:tc>
      </w:tr>
      <w:tr>
        <w:trPr>
          <w:cantSplit/>
        </w:trPr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商业化质量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54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20%</w:t>
            </w:r>
          </w:p>
        </w:tc>
        <w:tc>
          <w:tcPr>
            <w:tcW w:type="dxa" w:w="1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10.8</w:t>
            </w:r>
          </w:p>
        </w:tc>
        <w:tc>
          <w:tcPr>
            <w:tcW w:type="dxa" w:w="4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有销量与收入口径，但缺 Sell-through、退货、激活和贡献毛利。</w:t>
            </w:r>
          </w:p>
        </w:tc>
      </w:tr>
      <w:tr>
        <w:trPr>
          <w:cantSplit/>
        </w:trPr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团队与组织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68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10%</w:t>
            </w:r>
          </w:p>
        </w:tc>
        <w:tc>
          <w:tcPr>
            <w:tcW w:type="dxa" w:w="1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6.8</w:t>
            </w:r>
          </w:p>
        </w:tc>
        <w:tc>
          <w:tcPr>
            <w:tcW w:type="dxa" w:w="4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产品型创始人和研发导向明显，二梯队与关键职能需核验。</w:t>
            </w:r>
          </w:p>
        </w:tc>
      </w:tr>
      <w:tr>
        <w:trPr>
          <w:cantSplit/>
        </w:trPr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财务与现金流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38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15%</w:t>
            </w:r>
          </w:p>
        </w:tc>
        <w:tc>
          <w:tcPr>
            <w:tcW w:type="dxa" w:w="1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5.7</w:t>
            </w:r>
          </w:p>
        </w:tc>
        <w:tc>
          <w:tcPr>
            <w:tcW w:type="dxa" w:w="4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审计报表、负债、现金跑道和营运资金尚不可见。</w:t>
            </w:r>
          </w:p>
        </w:tc>
      </w:tr>
      <w:tr>
        <w:trPr>
          <w:cantSplit/>
        </w:trPr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治理与关联方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48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10%</w:t>
            </w:r>
          </w:p>
        </w:tc>
        <w:tc>
          <w:tcPr>
            <w:tcW w:type="dxa" w:w="1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4.8</w:t>
            </w:r>
          </w:p>
        </w:tc>
        <w:tc>
          <w:tcPr>
            <w:tcW w:type="dxa" w:w="4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多轮融资、多地产业资本和境外主体提升了结构复杂度。</w:t>
            </w:r>
          </w:p>
        </w:tc>
      </w:tr>
      <w:tr>
        <w:trPr>
          <w:cantSplit/>
        </w:trPr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法务与数据合规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44</w:t>
            </w:r>
          </w:p>
        </w:tc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10%</w:t>
            </w:r>
          </w:p>
        </w:tc>
        <w:tc>
          <w:tcPr>
            <w:tcW w:type="dxa" w:w="1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4.4</w:t>
            </w:r>
          </w:p>
        </w:tc>
        <w:tc>
          <w:tcPr>
            <w:tcW w:type="dxa" w:w="4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337 和解义务未知；中文隐私政策暴露明显治理缺口。</w:t>
            </w:r>
          </w:p>
        </w:tc>
      </w:tr>
      <w:tr>
        <w:trPr>
          <w:cantSplit/>
        </w:trPr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综合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58.3</w:t>
            </w:r>
          </w:p>
        </w:tc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100%</w:t>
            </w:r>
          </w:p>
        </w:tc>
        <w:tc>
          <w:tcPr>
            <w:tcW w:type="dxa" w:w="1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58.3</w:t>
            </w:r>
          </w:p>
        </w:tc>
        <w:tc>
          <w:tcPr>
            <w:tcW w:type="dxa" w:w="4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属“高不确定性、可继续验证”项目，不支持直接放大敞口。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评分由公开证据完整度和投资重要性综合形成，不是信用评级；任一红线事项可覆盖总分。</w:t>
      </w:r>
    </w:p>
    <w:p>
      <w:pPr>
        <w:pStyle w:val="Heading1"/>
      </w:pPr>
      <w:r>
        <w:t>4. 核心投资假设与可证伪方式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1932"/>
        <w:gridCol w:w="1932"/>
        <w:gridCol w:w="1932"/>
        <w:gridCol w:w="1932"/>
        <w:gridCol w:w="1932"/>
      </w:tblGrid>
      <w:tr>
        <w:trPr>
          <w:tblHeader w:val="true"/>
          <w:cantSplit/>
        </w:trPr>
        <w:tc>
          <w:tcPr>
            <w:tcW w:type="dxa" w:w="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6"/>
              </w:rPr>
              <w:t>编号</w:t>
            </w:r>
          </w:p>
        </w:tc>
        <w:tc>
          <w:tcPr>
            <w:tcW w:type="dxa" w:w="2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6"/>
              </w:rPr>
              <w:t>投资假设</w:t>
            </w:r>
          </w:p>
        </w:tc>
        <w:tc>
          <w:tcPr>
            <w:tcW w:type="dxa" w:w="21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6"/>
              </w:rPr>
              <w:t>当前证据</w:t>
            </w:r>
          </w:p>
        </w:tc>
        <w:tc>
          <w:tcPr>
            <w:tcW w:type="dxa" w:w="2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6"/>
              </w:rPr>
              <w:t>必须取得的验证</w:t>
            </w:r>
          </w:p>
        </w:tc>
        <w:tc>
          <w:tcPr>
            <w:tcW w:type="dxa" w:w="14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6"/>
              </w:rPr>
              <w:t>否定触发</w:t>
            </w:r>
          </w:p>
        </w:tc>
      </w:tr>
      <w:tr>
        <w:trPr>
          <w:cantSplit/>
        </w:trPr>
        <w:tc>
          <w:tcPr>
            <w:tcW w:type="dxa" w:w="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6"/>
              </w:rPr>
              <w:t>H1</w:t>
            </w:r>
          </w:p>
        </w:tc>
        <w:tc>
          <w:tcPr>
            <w:tcW w:type="dxa" w:w="2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用户将高频使用 GO/AIR，而非新奇购买后闲置。</w:t>
            </w:r>
          </w:p>
        </w:tc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有销量、订单和场景口径，无队列数据。</w:t>
            </w:r>
          </w:p>
        </w:tc>
        <w:tc>
          <w:tcPr>
            <w:tcW w:type="dxa" w:w="2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按型号的激活率、7/30/90 日留存、日均佩戴和核心任务完成率。</w:t>
            </w:r>
          </w:p>
        </w:tc>
        <w:tc>
          <w:tcPr>
            <w:tcW w:type="dxa" w:w="1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90 日留存与管理层口径显著背离。</w:t>
            </w:r>
          </w:p>
        </w:tc>
      </w:tr>
      <w:tr>
        <w:trPr>
          <w:cantSplit/>
        </w:trPr>
        <w:tc>
          <w:tcPr>
            <w:tcW w:type="dxa" w:w="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6"/>
              </w:rPr>
              <w:t>H2</w:t>
            </w:r>
          </w:p>
        </w:tc>
        <w:tc>
          <w:tcPr>
            <w:tcW w:type="dxa" w:w="2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产品组合能形成正的型号级贡献毛利。</w:t>
            </w:r>
          </w:p>
        </w:tc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管理层称 2025 年盈亏平衡，未审计。</w:t>
            </w:r>
          </w:p>
        </w:tc>
        <w:tc>
          <w:tcPr>
            <w:tcW w:type="dxa" w:w="2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净售价、BOM、渠道返利、退货、保修、物流和云/内容成本。</w:t>
            </w:r>
          </w:p>
        </w:tc>
        <w:tc>
          <w:tcPr>
            <w:tcW w:type="dxa" w:w="1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扣除退换与云成本后主力型号持续为负。</w:t>
            </w:r>
          </w:p>
        </w:tc>
      </w:tr>
      <w:tr>
        <w:trPr>
          <w:cantSplit/>
        </w:trPr>
        <w:tc>
          <w:tcPr>
            <w:tcW w:type="dxa" w:w="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6"/>
              </w:rPr>
              <w:t>H3</w:t>
            </w:r>
          </w:p>
        </w:tc>
        <w:tc>
          <w:tcPr>
            <w:tcW w:type="dxa" w:w="2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多地布局能降低成本并提升产业协同。</w:t>
            </w:r>
          </w:p>
        </w:tc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成都总部、珠三角供应链、无锡产线已形成。</w:t>
            </w:r>
          </w:p>
        </w:tc>
        <w:tc>
          <w:tcPr>
            <w:tcW w:type="dxa" w:w="2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跨主体费用分摊、政府承诺、无锡良率/稼动率/单位成本。</w:t>
            </w:r>
          </w:p>
        </w:tc>
        <w:tc>
          <w:tcPr>
            <w:tcW w:type="dxa" w:w="1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产线经济良率长期未达标或关联定价损害母体。</w:t>
            </w:r>
          </w:p>
        </w:tc>
      </w:tr>
      <w:tr>
        <w:trPr>
          <w:cantSplit/>
        </w:trPr>
        <w:tc>
          <w:tcPr>
            <w:tcW w:type="dxa" w:w="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6"/>
              </w:rPr>
              <w:t>H4</w:t>
            </w:r>
          </w:p>
        </w:tc>
        <w:tc>
          <w:tcPr>
            <w:tcW w:type="dxa" w:w="2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知识产权与数据合规风险可通过条款与整改控制。</w:t>
            </w:r>
          </w:p>
        </w:tc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337 已和解终止；隐私政策存在治理缺口。</w:t>
            </w:r>
          </w:p>
        </w:tc>
        <w:tc>
          <w:tcPr>
            <w:tcW w:type="dxa" w:w="2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337 和解、多法域 FTO、数据流图、SDK 清单、PIPIA 和整改记录。</w:t>
            </w:r>
          </w:p>
        </w:tc>
        <w:tc>
          <w:tcPr>
            <w:tcW w:type="dxa" w:w="1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6"/>
              </w:rPr>
              <w:t>持续许可费/销售限制不可承受，或核心数据处理无法合规。</w:t>
            </w:r>
          </w:p>
        </w:tc>
      </w:tr>
    </w:tbl>
    <w:p>
      <w:pPr>
        <w:spacing w:after="0"/>
      </w:pPr>
    </w:p>
    <w:p>
      <w:pPr>
        <w:pStyle w:val="Heading1"/>
      </w:pPr>
      <w:r>
        <w:t>5. 必须前置的交易条件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优先级</w:t>
            </w:r>
          </w:p>
        </w:tc>
        <w:tc>
          <w:tcPr>
            <w:tcW w:type="dxa" w:w="4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条件</w:t>
            </w:r>
          </w:p>
        </w:tc>
        <w:tc>
          <w:tcPr>
            <w:tcW w:type="dxa" w:w="41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建议交易安排</w:t>
            </w:r>
          </w:p>
        </w:tc>
      </w:tr>
      <w:tr>
        <w:trPr>
          <w:cantSplit/>
        </w:trPr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P0</w:t>
            </w:r>
          </w:p>
        </w:tc>
        <w:tc>
          <w:tcPr>
            <w:tcW w:type="dxa" w:w="4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完整摊薄股权、章程、全部融资协议与回购/对赌。</w:t>
            </w:r>
          </w:p>
        </w:tc>
        <w:tc>
          <w:tcPr>
            <w:tcW w:type="dxa" w:w="41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作为交割先决条件；控制权或清算优先权不清时暂停。</w:t>
            </w:r>
          </w:p>
        </w:tc>
      </w:tr>
      <w:tr>
        <w:trPr>
          <w:cantSplit/>
        </w:trPr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P0</w:t>
            </w:r>
          </w:p>
        </w:tc>
        <w:tc>
          <w:tcPr>
            <w:tcW w:type="dxa" w:w="4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审计财务、纳税、回款、出库、激活与退货六表勾稽。</w:t>
            </w:r>
          </w:p>
        </w:tc>
        <w:tc>
          <w:tcPr>
            <w:tcW w:type="dxa" w:w="41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引入财务+设备序列号专项审计；对重大背离设调价和退出权。</w:t>
            </w:r>
          </w:p>
        </w:tc>
      </w:tr>
      <w:tr>
        <w:trPr>
          <w:cantSplit/>
        </w:trPr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P0</w:t>
            </w:r>
          </w:p>
        </w:tc>
        <w:tc>
          <w:tcPr>
            <w:tcW w:type="dxa" w:w="4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337 和解协议、费用、范围、审计权与未来产品覆盖。</w:t>
            </w:r>
          </w:p>
        </w:tc>
        <w:tc>
          <w:tcPr>
            <w:tcW w:type="dxa" w:w="41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专项陈述保证、赔偿、托管/保留款及新产品律师意见。</w:t>
            </w:r>
          </w:p>
        </w:tc>
      </w:tr>
      <w:tr>
        <w:trPr>
          <w:cantSplit/>
        </w:trPr>
        <w:tc>
          <w:tcPr>
            <w:tcW w:type="dxa" w:w="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P0</w:t>
            </w:r>
          </w:p>
        </w:tc>
        <w:tc>
          <w:tcPr>
            <w:tcW w:type="dxa" w:w="4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前十大供应商、单供物料、替代工程验证与无锡产线实际数据。</w:t>
            </w:r>
          </w:p>
        </w:tc>
        <w:tc>
          <w:tcPr>
            <w:tcW w:type="dxa" w:w="41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后续交割与双供、产线良率、交付和贡献毛利里程碑挂钩。</w:t>
            </w:r>
          </w:p>
        </w:tc>
      </w:tr>
      <w:tr>
        <w:trPr>
          <w:cantSplit/>
        </w:trPr>
        <w:tc>
          <w:tcPr>
            <w:tcW w:type="dxa" w:w="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P1</w:t>
            </w:r>
          </w:p>
        </w:tc>
        <w:tc>
          <w:tcPr>
            <w:tcW w:type="dxa" w:w="4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数据隐私、第三方 SDK、跨境和海外售后整改。</w:t>
            </w:r>
          </w:p>
        </w:tc>
        <w:tc>
          <w:tcPr>
            <w:tcW w:type="dxa" w:w="41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在规模化海外业务前完成独立合规审核，并给予投资人事件知情权。</w:t>
            </w:r>
          </w:p>
        </w:tc>
      </w:tr>
    </w:tbl>
    <w:p>
      <w:pPr>
        <w:spacing w:after="0"/>
      </w:pPr>
    </w:p>
    <w:p>
      <w:pPr>
        <w:pStyle w:val="Heading1"/>
      </w:pPr>
      <w:r>
        <w:t>6. 红线与“什么会改变我们的看法”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</w:tblPr>
      <w:tblGrid>
        <w:gridCol w:w="9659"/>
      </w:tblGrid>
      <w:tr>
        <w:tc>
          <w:tcPr>
            <w:tcW w:type="dxa" w:w="9360"/>
            <w:shd w:fill="F4CCCC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C00000"/>
                <w:sz w:val="21"/>
              </w:rPr>
              <w:t>红线｜任一项触发即暂停或重定价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未披露代持/对赌导致控制权不稳；337 和解含不可承受的持续许可费或销售限制；退货与售后成本吞噬主力型号毛利；审计收入与激活/回款显著背离；数据处理不能满足国内与海外合规。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tblHeader w:val="true"/>
          <w:cantSplit/>
        </w:trPr>
        <w:tc>
          <w:tcPr>
            <w:tcW w:type="dxa" w:w="4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新证据</w:t>
            </w:r>
          </w:p>
        </w:tc>
        <w:tc>
          <w:tcPr>
            <w:tcW w:type="dxa" w:w="46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对当前判断的影响</w:t>
            </w:r>
          </w:p>
        </w:tc>
      </w:tr>
      <w:tr>
        <w:trPr>
          <w:cantSplit/>
        </w:trPr>
        <w:tc>
          <w:tcPr>
            <w:tcW w:type="dxa" w:w="4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连续 6 个月的型号级贡献毛利、激活和 90 日留存稳定改善</w:t>
            </w:r>
          </w:p>
        </w:tc>
        <w:tc>
          <w:tcPr>
            <w:tcW w:type="dxa" w:w="4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可将商业化评分上调，并从试点进入规模投资讨论。</w:t>
            </w:r>
          </w:p>
        </w:tc>
      </w:tr>
      <w:tr>
        <w:trPr>
          <w:cantSplit/>
        </w:trPr>
        <w:tc>
          <w:tcPr>
            <w:tcW w:type="dxa" w:w="4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经审计经营现金流为正，库存与应收增速低于收入</w:t>
            </w:r>
          </w:p>
        </w:tc>
        <w:tc>
          <w:tcPr>
            <w:tcW w:type="dxa" w:w="4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降低对持续融资的依赖判断，提升估值承受力。</w:t>
            </w:r>
          </w:p>
        </w:tc>
      </w:tr>
      <w:tr>
        <w:trPr>
          <w:cantSplit/>
        </w:trPr>
        <w:tc>
          <w:tcPr>
            <w:tcW w:type="dxa" w:w="4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337 和解无重大持续经济义务，且新产品完成多法域 FTO</w:t>
            </w:r>
          </w:p>
        </w:tc>
        <w:tc>
          <w:tcPr>
            <w:tcW w:type="dxa" w:w="4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将 IP 风险从高降为可控的中低风险。</w:t>
            </w:r>
          </w:p>
        </w:tc>
      </w:tr>
      <w:tr>
        <w:trPr>
          <w:cantSplit/>
        </w:trPr>
        <w:tc>
          <w:tcPr>
            <w:tcW w:type="dxa" w:w="4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管理层拒绝提供六表勾稽、股权表或和解要点</w:t>
            </w:r>
          </w:p>
        </w:tc>
        <w:tc>
          <w:tcPr>
            <w:tcW w:type="dxa" w:w="4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不应将“信息不足”当作中性事件，应直接下调质量评级并暂停。</w:t>
            </w:r>
          </w:p>
        </w:tc>
      </w:tr>
    </w:tbl>
    <w:p>
      <w:pPr>
        <w:spacing w:after="0"/>
      </w:pPr>
    </w:p>
    <w:p>
      <w:pPr>
        <w:pStyle w:val="Heading1"/>
      </w:pPr>
      <w:r>
        <w:t>7. 委员会建议决议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同意将项目进入为期 4—6 周的数据室和专项尽调阶段，不在本阶段锁定最终估值。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委托财务+设备序列号专项审计，开展知识产权、供应链和数据合规专项。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所有后续交易价格、交割比例和条款以数据室验证结果重新定价。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如一项红线触发或管理层拒绝实质数据开放，授权项目组中止尽调并回报委员会。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548235"/>
          <w:left w:val="single" w:sz="8" w:space="0" w:color="548235"/>
          <w:bottom w:val="single" w:sz="8" w:space="0" w:color="548235"/>
          <w:right w:val="single" w:sz="8" w:space="0" w:color="548235"/>
          <w:insideH w:val="single" w:sz="8" w:space="0" w:color="548235"/>
          <w:insideV w:val="single" w:sz="8" w:space="0" w:color="548235"/>
        </w:tblBorders>
      </w:tblPr>
      <w:tblGrid>
        <w:gridCol w:w="9659"/>
      </w:tblGrid>
      <w:tr>
        <w:tc>
          <w:tcPr>
            <w:tcW w:type="dxa" w:w="9360"/>
            <w:shd w:fill="E2F0D9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548235"/>
                <w:sz w:val="21"/>
              </w:rPr>
              <w:t>当前建议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建议深化，但不建议立即投资。本项目的下一个价值节点不是再增加更多新闻条目，而是取得能验证用户留存、型号级贡献毛利、现金流、供应链和知识产权的一手证据。</w:t>
            </w:r>
          </w:p>
        </w:tc>
      </w:tr>
    </w:tbl>
    <w:p>
      <w:pPr>
        <w:spacing w:after="0"/>
      </w:pPr>
    </w:p>
    <w:p>
      <w:pPr>
        <w:pStyle w:val="Heading1"/>
      </w:pPr>
      <w:r>
        <w:t>附录｜与深度尽调报告的关系</w:t>
      </w:r>
    </w:p>
    <w:p>
      <w:r>
        <w:rPr>
          <w:rFonts w:ascii="Arial" w:hAnsi="Arial" w:eastAsia="Noto Sans CJK SC"/>
          <w:color w:val="1F1F1F"/>
          <w:sz w:val="21"/>
        </w:rPr>
        <w:t>本备忘录为决策层摘要，事实来源、产业分析、公司主体、团队、产品、供应链、关联方和合规细节见《四川影目科技有限公司深度尽职调查报告》；参数、情景和投资回报见配套《投资情景与证据底稿工作簿》。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1037" w:right="1123" w:bottom="979" w:left="1123" w:header="403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dxa" w:w="300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Arial" w:hAnsi="Arial" w:eastAsia="Noto Sans CJK SC"/>
              <w:b/>
              <w:color w:val="666666"/>
              <w:sz w:val="15"/>
            </w:rPr>
            <w:t>公开信息尽调｜机密</w:t>
          </w:r>
        </w:p>
      </w:tc>
      <w:tc>
        <w:tcPr>
          <w:tcW w:type="dxa" w:w="336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center"/>
          </w:pPr>
          <w:r>
            <w:rPr>
              <w:rFonts w:ascii="Arial" w:hAnsi="Arial" w:eastAsia="Noto Sans CJK SC"/>
              <w:color w:val="666666"/>
              <w:sz w:val="15"/>
            </w:rPr>
            <w:t>2026年8月11日</w:t>
          </w:r>
        </w:p>
      </w:tc>
      <w:tc>
        <w:tcPr>
          <w:tcW w:type="dxa" w:w="300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 w:eastAsia="Noto Sans CJK SC"/>
              <w:color w:val="666666"/>
              <w:sz w:val="15"/>
            </w:rPr>
            <w:t xml:space="preserve">第 </w:t>
          </w:r>
          <w: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Arial" w:hAnsi="Arial" w:eastAsia="Noto Sans CJK SC"/>
              <w:color w:val="666666"/>
              <w:sz w:val="15"/>
            </w:rPr>
            <w:t xml:space="preserve"> 页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3" w:color="5B9BD5"/>
      </w:pBdr>
    </w:pPr>
    <w:r>
      <w:rPr>
        <w:rFonts w:ascii="Arial" w:hAnsi="Arial" w:eastAsia="Noto Sans CJK SC"/>
        <w:b/>
        <w:color w:val="666666"/>
        <w:sz w:val="16"/>
      </w:rPr>
      <w:t>四川影目科技有限公司｜深度尽调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Noto Sans CJK SC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eastAsia="Noto Sans CJK SC"/>
      <w:b/>
      <w:bCs/>
      <w:color w:val="1732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Noto Sans CJK SC"/>
      <w:b/>
      <w:bCs/>
      <w:color w:val="2E74B5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Noto Sans CJK SC"/>
      <w:b/>
      <w:bCs/>
      <w:color w:val="17324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 w:eastAsia="Noto Sans CJK SC"/>
      <w:b/>
      <w:color w:val="1732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 w:eastAsia="Noto Sans CJK SC"/>
      <w:b w:val="0"/>
      <w:i/>
      <w:iCs/>
      <w:color w:val="66666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720" w:hanging="360"/>
      <w:contextualSpacing/>
    </w:pPr>
    <w:rPr>
      <w:rFonts w:ascii="Arial" w:hAnsi="Arial" w:eastAsia="Noto Sans CJK SC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720" w:hanging="360"/>
      <w:contextualSpacing/>
    </w:pPr>
    <w:rPr>
      <w:rFonts w:ascii="Arial" w:hAnsi="Arial" w:eastAsia="Noto Sans CJK SC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after="80" w:line="252" w:lineRule="auto"/>
    </w:pPr>
    <w:rPr>
      <w:rFonts w:ascii="Arial" w:hAnsi="Arial" w:eastAsia="Noto Sans CJK SC"/>
      <w:color w:val="17324D"/>
      <w:sz w:val="18"/>
    </w:rPr>
  </w:style>
  <w:style w:type="paragraph" w:customStyle="1" w:styleId="SourceNote">
    <w:name w:val="SourceNote"/>
    <w:pPr>
      <w:spacing w:after="80" w:line="252" w:lineRule="auto"/>
    </w:pPr>
    <w:rPr>
      <w:rFonts w:ascii="Arial" w:hAnsi="Arial" w:eastAsia="Noto Sans CJK SC"/>
      <w:color w:val="666666"/>
      <w:sz w:val="18"/>
    </w:rPr>
  </w:style>
  <w:style w:type="paragraph" w:customStyle="1" w:styleId="SmallText">
    <w:name w:val="SmallText"/>
    <w:pPr>
      <w:spacing w:after="80" w:line="252" w:lineRule="auto"/>
    </w:pPr>
    <w:rPr>
      <w:rFonts w:ascii="Arial" w:hAnsi="Arial" w:eastAsia="Noto Sans CJK SC"/>
      <w:color w:val="6666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四川影目科技有限公司投资委员会决策备忘录</dc:title>
  <dc:subject>投资决策、核心假设、风险与交易条件</dc:subject>
  <dc:creator>TianfuHub 企业情报中心</dc:creator>
  <cp:keywords>INMO, 影目科技, AI眼镜, AR眼镜, 尽职调查</cp:keywords>
  <dc:description>generated by python-docx</dc:description>
  <cp:lastModifiedBy/>
  <cp:revision>1</cp:revision>
  <dcterms:created xsi:type="dcterms:W3CDTF">2013-12-23T23:15:00Z</dcterms:created>
  <dcterms:modified xsi:type="dcterms:W3CDTF">2026-08-12T00:00:00Z</dcterms:modified>
  <cp:category/>
</cp:coreProperties>
</file>